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6FD3" w:rsidRDefault="004E6FD3" w:rsidP="004E6FD3">
      <w:pPr>
        <w:jc w:val="center"/>
      </w:pPr>
      <w:r w:rsidRPr="00F25152">
        <w:rPr>
          <w:noProof/>
        </w:rPr>
        <w:drawing>
          <wp:inline distT="0" distB="0" distL="0" distR="0">
            <wp:extent cx="2209800" cy="1905000"/>
            <wp:effectExtent l="19050" t="0" r="0" b="0"/>
            <wp:docPr id="1" name="Picture 1" descr="C:\Users\designer\Desktop\sharesvault.jpg"/>
            <wp:cNvGraphicFramePr/>
            <a:graphic xmlns:a="http://schemas.openxmlformats.org/drawingml/2006/main">
              <a:graphicData uri="http://schemas.openxmlformats.org/drawingml/2006/picture">
                <pic:pic xmlns:pic="http://schemas.openxmlformats.org/drawingml/2006/picture">
                  <pic:nvPicPr>
                    <pic:cNvPr id="18436" name="Picture 4" descr="C:\Users\designer\Desktop\sharesvault.jpg"/>
                    <pic:cNvPicPr>
                      <a:picLocks noChangeAspect="1" noChangeArrowheads="1"/>
                    </pic:cNvPicPr>
                  </pic:nvPicPr>
                  <pic:blipFill>
                    <a:blip r:embed="rId5" cstate="print"/>
                    <a:srcRect/>
                    <a:stretch>
                      <a:fillRect/>
                    </a:stretch>
                  </pic:blipFill>
                  <pic:spPr bwMode="auto">
                    <a:xfrm>
                      <a:off x="0" y="0"/>
                      <a:ext cx="2209361" cy="1904622"/>
                    </a:xfrm>
                    <a:prstGeom prst="rect">
                      <a:avLst/>
                    </a:prstGeom>
                    <a:noFill/>
                    <a:ln w="9525">
                      <a:noFill/>
                      <a:miter lim="800000"/>
                      <a:headEnd/>
                      <a:tailEnd/>
                    </a:ln>
                  </pic:spPr>
                </pic:pic>
              </a:graphicData>
            </a:graphic>
          </wp:inline>
        </w:drawing>
      </w:r>
    </w:p>
    <w:p w:rsidR="004E6FD3" w:rsidRDefault="004E6FD3" w:rsidP="004E6FD3">
      <w:pPr>
        <w:jc w:val="center"/>
        <w:rPr>
          <w:b/>
          <w:sz w:val="36"/>
          <w:szCs w:val="36"/>
        </w:rPr>
      </w:pPr>
      <w:r w:rsidRPr="00F25152">
        <w:rPr>
          <w:b/>
          <w:sz w:val="36"/>
          <w:szCs w:val="36"/>
        </w:rPr>
        <w:t>SharesVault Management Services</w:t>
      </w:r>
    </w:p>
    <w:p w:rsidR="004E6FD3" w:rsidRDefault="00222B61" w:rsidP="004E6FD3">
      <w:pPr>
        <w:jc w:val="center"/>
        <w:rPr>
          <w:b/>
          <w:sz w:val="36"/>
          <w:szCs w:val="36"/>
        </w:rPr>
      </w:pPr>
      <w:hyperlink r:id="rId6" w:history="1">
        <w:r w:rsidR="004E6FD3" w:rsidRPr="0034236F">
          <w:rPr>
            <w:rStyle w:val="Hyperlink"/>
            <w:b/>
            <w:sz w:val="36"/>
            <w:szCs w:val="36"/>
          </w:rPr>
          <w:t>http://www.sharesvault.com</w:t>
        </w:r>
      </w:hyperlink>
    </w:p>
    <w:p w:rsidR="004E6FD3" w:rsidRDefault="004E6FD3" w:rsidP="004E6FD3">
      <w:pPr>
        <w:jc w:val="center"/>
        <w:rPr>
          <w:b/>
          <w:sz w:val="36"/>
          <w:szCs w:val="36"/>
        </w:rPr>
      </w:pPr>
      <w:r>
        <w:rPr>
          <w:b/>
          <w:sz w:val="36"/>
          <w:szCs w:val="36"/>
        </w:rPr>
        <w:t xml:space="preserve">The </w:t>
      </w:r>
      <w:r w:rsidR="00911337">
        <w:rPr>
          <w:b/>
          <w:sz w:val="36"/>
          <w:szCs w:val="36"/>
        </w:rPr>
        <w:t>Non</w:t>
      </w:r>
      <w:r>
        <w:rPr>
          <w:b/>
          <w:sz w:val="36"/>
          <w:szCs w:val="36"/>
        </w:rPr>
        <w:t>-IPO Private Deals Network</w:t>
      </w:r>
    </w:p>
    <w:p w:rsidR="004E6FD3" w:rsidRPr="00670956" w:rsidRDefault="004E6FD3" w:rsidP="004E6FD3">
      <w:pPr>
        <w:pStyle w:val="ListParagraph"/>
        <w:numPr>
          <w:ilvl w:val="0"/>
          <w:numId w:val="1"/>
        </w:numPr>
        <w:rPr>
          <w:b/>
          <w:sz w:val="24"/>
          <w:szCs w:val="24"/>
        </w:rPr>
      </w:pPr>
      <w:r w:rsidRPr="00515DE2">
        <w:rPr>
          <w:sz w:val="24"/>
          <w:szCs w:val="24"/>
        </w:rPr>
        <w:t xml:space="preserve">What if you would have got </w:t>
      </w:r>
      <w:r w:rsidR="00663E54">
        <w:rPr>
          <w:sz w:val="24"/>
          <w:szCs w:val="24"/>
        </w:rPr>
        <w:t xml:space="preserve">a </w:t>
      </w:r>
      <w:r w:rsidRPr="00515DE2">
        <w:rPr>
          <w:sz w:val="24"/>
          <w:szCs w:val="24"/>
        </w:rPr>
        <w:t>chance to buy shares of companies like Educomp</w:t>
      </w:r>
      <w:r w:rsidR="00663E54" w:rsidRPr="00515DE2">
        <w:rPr>
          <w:sz w:val="24"/>
          <w:szCs w:val="24"/>
        </w:rPr>
        <w:t>, Biocon</w:t>
      </w:r>
      <w:r w:rsidRPr="00515DE2">
        <w:rPr>
          <w:sz w:val="24"/>
          <w:szCs w:val="24"/>
        </w:rPr>
        <w:t xml:space="preserve">, </w:t>
      </w:r>
      <w:r w:rsidR="00663E54" w:rsidRPr="00515DE2">
        <w:rPr>
          <w:sz w:val="24"/>
          <w:szCs w:val="24"/>
        </w:rPr>
        <w:t>and Ambuja</w:t>
      </w:r>
      <w:r w:rsidRPr="00515DE2">
        <w:rPr>
          <w:sz w:val="24"/>
          <w:szCs w:val="24"/>
        </w:rPr>
        <w:t xml:space="preserve"> Cement etc in their early years and before </w:t>
      </w:r>
      <w:r w:rsidR="00663E54">
        <w:rPr>
          <w:sz w:val="24"/>
          <w:szCs w:val="24"/>
        </w:rPr>
        <w:t xml:space="preserve">any of </w:t>
      </w:r>
      <w:r>
        <w:rPr>
          <w:sz w:val="24"/>
          <w:szCs w:val="24"/>
        </w:rPr>
        <w:t xml:space="preserve">them getting </w:t>
      </w:r>
      <w:r w:rsidRPr="00515DE2">
        <w:rPr>
          <w:sz w:val="24"/>
          <w:szCs w:val="24"/>
        </w:rPr>
        <w:t>list</w:t>
      </w:r>
      <w:r>
        <w:rPr>
          <w:sz w:val="24"/>
          <w:szCs w:val="24"/>
        </w:rPr>
        <w:t>ed</w:t>
      </w:r>
      <w:r w:rsidRPr="00515DE2">
        <w:rPr>
          <w:sz w:val="24"/>
          <w:szCs w:val="24"/>
        </w:rPr>
        <w:t xml:space="preserve"> on exchanges?</w:t>
      </w:r>
    </w:p>
    <w:p w:rsidR="004E6FD3" w:rsidRPr="00670956" w:rsidRDefault="004E6FD3" w:rsidP="004E6FD3">
      <w:pPr>
        <w:pStyle w:val="ListParagraph"/>
        <w:numPr>
          <w:ilvl w:val="0"/>
          <w:numId w:val="1"/>
        </w:numPr>
        <w:rPr>
          <w:b/>
          <w:sz w:val="24"/>
          <w:szCs w:val="24"/>
        </w:rPr>
      </w:pPr>
      <w:r>
        <w:rPr>
          <w:sz w:val="24"/>
          <w:szCs w:val="24"/>
        </w:rPr>
        <w:t xml:space="preserve">What if you have </w:t>
      </w:r>
      <w:r w:rsidR="00307FEA">
        <w:rPr>
          <w:sz w:val="24"/>
          <w:szCs w:val="24"/>
        </w:rPr>
        <w:t xml:space="preserve">free hold </w:t>
      </w:r>
      <w:r>
        <w:rPr>
          <w:sz w:val="24"/>
          <w:szCs w:val="24"/>
        </w:rPr>
        <w:t xml:space="preserve">ESOPs and don’t want to wait for years to exit and </w:t>
      </w:r>
      <w:r w:rsidR="00663E54">
        <w:rPr>
          <w:sz w:val="24"/>
          <w:szCs w:val="24"/>
        </w:rPr>
        <w:t>to</w:t>
      </w:r>
      <w:r>
        <w:rPr>
          <w:sz w:val="24"/>
          <w:szCs w:val="24"/>
        </w:rPr>
        <w:t xml:space="preserve"> value of your sweat equity in </w:t>
      </w:r>
      <w:r w:rsidR="00C92886">
        <w:rPr>
          <w:sz w:val="24"/>
          <w:szCs w:val="24"/>
        </w:rPr>
        <w:t>start-up</w:t>
      </w:r>
      <w:r>
        <w:rPr>
          <w:sz w:val="24"/>
          <w:szCs w:val="24"/>
        </w:rPr>
        <w:t>?</w:t>
      </w:r>
    </w:p>
    <w:p w:rsidR="004E6FD3" w:rsidRPr="00515DE2" w:rsidRDefault="004E6FD3" w:rsidP="004E6FD3">
      <w:pPr>
        <w:pStyle w:val="ListParagraph"/>
        <w:numPr>
          <w:ilvl w:val="0"/>
          <w:numId w:val="1"/>
        </w:numPr>
        <w:rPr>
          <w:b/>
          <w:sz w:val="24"/>
          <w:szCs w:val="24"/>
        </w:rPr>
      </w:pPr>
      <w:r>
        <w:rPr>
          <w:sz w:val="24"/>
          <w:szCs w:val="24"/>
        </w:rPr>
        <w:t xml:space="preserve">What if you want to </w:t>
      </w:r>
      <w:r w:rsidR="00BA61B7">
        <w:rPr>
          <w:sz w:val="24"/>
          <w:szCs w:val="24"/>
        </w:rPr>
        <w:t>buy Shares of fast growing Private Ltd. Companies or unlisted companies?</w:t>
      </w:r>
    </w:p>
    <w:p w:rsidR="004E6FD3" w:rsidRPr="00DF2775" w:rsidRDefault="004E6FD3" w:rsidP="004E6FD3">
      <w:pPr>
        <w:pStyle w:val="ListParagraph"/>
        <w:numPr>
          <w:ilvl w:val="0"/>
          <w:numId w:val="1"/>
        </w:numPr>
        <w:rPr>
          <w:b/>
          <w:sz w:val="24"/>
          <w:szCs w:val="24"/>
        </w:rPr>
      </w:pPr>
      <w:r w:rsidRPr="00515DE2">
        <w:rPr>
          <w:sz w:val="24"/>
          <w:szCs w:val="24"/>
        </w:rPr>
        <w:t>There are more than 8</w:t>
      </w:r>
      <w:r w:rsidR="00663E54">
        <w:rPr>
          <w:sz w:val="24"/>
          <w:szCs w:val="24"/>
        </w:rPr>
        <w:t>,</w:t>
      </w:r>
      <w:r w:rsidR="00663E54" w:rsidRPr="00515DE2">
        <w:rPr>
          <w:sz w:val="24"/>
          <w:szCs w:val="24"/>
        </w:rPr>
        <w:t>00,000</w:t>
      </w:r>
      <w:r w:rsidRPr="00515DE2">
        <w:rPr>
          <w:sz w:val="24"/>
          <w:szCs w:val="24"/>
        </w:rPr>
        <w:t xml:space="preserve"> Pvt. Ltd. companies in India </w:t>
      </w:r>
      <w:r>
        <w:rPr>
          <w:sz w:val="24"/>
          <w:szCs w:val="24"/>
        </w:rPr>
        <w:t xml:space="preserve">out of 3.5 </w:t>
      </w:r>
      <w:r w:rsidR="00C92886">
        <w:rPr>
          <w:sz w:val="24"/>
          <w:szCs w:val="24"/>
        </w:rPr>
        <w:t>Crore</w:t>
      </w:r>
      <w:r w:rsidR="00307FEA">
        <w:rPr>
          <w:sz w:val="24"/>
          <w:szCs w:val="24"/>
        </w:rPr>
        <w:t xml:space="preserve"> MSME</w:t>
      </w:r>
      <w:r>
        <w:rPr>
          <w:sz w:val="24"/>
          <w:szCs w:val="24"/>
        </w:rPr>
        <w:t xml:space="preserve"> businesses. Most of these companies will never see themselves on bourses because of costs involved and size. Lots of these</w:t>
      </w:r>
      <w:r w:rsidR="00935C42">
        <w:rPr>
          <w:sz w:val="24"/>
          <w:szCs w:val="24"/>
        </w:rPr>
        <w:t xml:space="preserve"> MSME</w:t>
      </w:r>
      <w:r>
        <w:rPr>
          <w:sz w:val="24"/>
          <w:szCs w:val="24"/>
        </w:rPr>
        <w:t xml:space="preserve"> companies have </w:t>
      </w:r>
      <w:r w:rsidR="00307FEA">
        <w:rPr>
          <w:sz w:val="24"/>
          <w:szCs w:val="24"/>
        </w:rPr>
        <w:t>splendid</w:t>
      </w:r>
      <w:r>
        <w:rPr>
          <w:sz w:val="24"/>
          <w:szCs w:val="24"/>
        </w:rPr>
        <w:t xml:space="preserve"> business model and excellent sales track record but hardly have attracted attention of investors </w:t>
      </w:r>
      <w:r w:rsidR="00C92886">
        <w:rPr>
          <w:sz w:val="24"/>
          <w:szCs w:val="24"/>
        </w:rPr>
        <w:t>i.e.</w:t>
      </w:r>
      <w:r>
        <w:rPr>
          <w:sz w:val="24"/>
          <w:szCs w:val="24"/>
        </w:rPr>
        <w:t xml:space="preserve"> VC’s and PE’s. </w:t>
      </w:r>
    </w:p>
    <w:p w:rsidR="004E6FD3" w:rsidRPr="00515DE2" w:rsidRDefault="004E6FD3" w:rsidP="004E6FD3">
      <w:pPr>
        <w:pStyle w:val="ListParagraph"/>
        <w:numPr>
          <w:ilvl w:val="0"/>
          <w:numId w:val="1"/>
        </w:numPr>
        <w:rPr>
          <w:b/>
          <w:sz w:val="24"/>
          <w:szCs w:val="24"/>
        </w:rPr>
      </w:pPr>
      <w:r>
        <w:rPr>
          <w:sz w:val="24"/>
          <w:szCs w:val="24"/>
        </w:rPr>
        <w:t>While some may need funding to scale and expand, some may just want to dilute a small portion</w:t>
      </w:r>
      <w:r w:rsidR="00935C42">
        <w:rPr>
          <w:sz w:val="24"/>
          <w:szCs w:val="24"/>
        </w:rPr>
        <w:t xml:space="preserve"> in market</w:t>
      </w:r>
      <w:r>
        <w:rPr>
          <w:sz w:val="24"/>
          <w:szCs w:val="24"/>
        </w:rPr>
        <w:t xml:space="preserve"> to find out company valuation and then sell </w:t>
      </w:r>
      <w:r w:rsidR="001C3479">
        <w:rPr>
          <w:sz w:val="24"/>
          <w:szCs w:val="24"/>
        </w:rPr>
        <w:t>company</w:t>
      </w:r>
      <w:r>
        <w:rPr>
          <w:sz w:val="24"/>
          <w:szCs w:val="24"/>
        </w:rPr>
        <w:t xml:space="preserve"> to a strategic </w:t>
      </w:r>
      <w:r w:rsidR="00C92886">
        <w:rPr>
          <w:sz w:val="24"/>
          <w:szCs w:val="24"/>
        </w:rPr>
        <w:t>partner.</w:t>
      </w:r>
      <w:r w:rsidR="00C92886" w:rsidRPr="00515DE2">
        <w:rPr>
          <w:sz w:val="24"/>
          <w:szCs w:val="24"/>
        </w:rPr>
        <w:t xml:space="preserve"> SharesVault</w:t>
      </w:r>
      <w:r w:rsidRPr="00515DE2">
        <w:rPr>
          <w:sz w:val="24"/>
          <w:szCs w:val="24"/>
        </w:rPr>
        <w:t xml:space="preserve"> is a platform</w:t>
      </w:r>
      <w:r w:rsidR="001C3479">
        <w:rPr>
          <w:sz w:val="24"/>
          <w:szCs w:val="24"/>
        </w:rPr>
        <w:t>,</w:t>
      </w:r>
      <w:r>
        <w:rPr>
          <w:sz w:val="24"/>
          <w:szCs w:val="24"/>
        </w:rPr>
        <w:t xml:space="preserve"> in India</w:t>
      </w:r>
      <w:r w:rsidR="00307FEA">
        <w:rPr>
          <w:sz w:val="24"/>
          <w:szCs w:val="24"/>
        </w:rPr>
        <w:t xml:space="preserve"> for </w:t>
      </w:r>
      <w:r w:rsidR="00544B0F">
        <w:rPr>
          <w:sz w:val="24"/>
          <w:szCs w:val="24"/>
        </w:rPr>
        <w:t xml:space="preserve">Non </w:t>
      </w:r>
      <w:r w:rsidR="00307FEA">
        <w:rPr>
          <w:sz w:val="24"/>
          <w:szCs w:val="24"/>
        </w:rPr>
        <w:t>IPO companies</w:t>
      </w:r>
      <w:r>
        <w:rPr>
          <w:sz w:val="24"/>
          <w:szCs w:val="24"/>
        </w:rPr>
        <w:t xml:space="preserve">. This is a platform </w:t>
      </w:r>
      <w:r w:rsidR="001C3479">
        <w:rPr>
          <w:sz w:val="24"/>
          <w:szCs w:val="24"/>
        </w:rPr>
        <w:t>to</w:t>
      </w:r>
      <w:r w:rsidR="00C92886">
        <w:rPr>
          <w:sz w:val="24"/>
          <w:szCs w:val="24"/>
        </w:rPr>
        <w:t xml:space="preserve"> </w:t>
      </w:r>
      <w:r w:rsidR="00C92886" w:rsidRPr="00515DE2">
        <w:rPr>
          <w:sz w:val="24"/>
          <w:szCs w:val="24"/>
        </w:rPr>
        <w:t>transact</w:t>
      </w:r>
      <w:r w:rsidR="001C3479">
        <w:rPr>
          <w:sz w:val="24"/>
          <w:szCs w:val="24"/>
        </w:rPr>
        <w:t xml:space="preserve"> with company’s right to refuse/buyback and future buyouts with minimum</w:t>
      </w:r>
      <w:r>
        <w:rPr>
          <w:sz w:val="24"/>
          <w:szCs w:val="24"/>
        </w:rPr>
        <w:t xml:space="preserve"> </w:t>
      </w:r>
      <w:r w:rsidR="0064670B">
        <w:rPr>
          <w:sz w:val="24"/>
          <w:szCs w:val="24"/>
        </w:rPr>
        <w:t>1 week</w:t>
      </w:r>
      <w:r w:rsidR="001C3479">
        <w:rPr>
          <w:sz w:val="24"/>
          <w:szCs w:val="24"/>
        </w:rPr>
        <w:t xml:space="preserve"> hold period</w:t>
      </w:r>
      <w:r>
        <w:rPr>
          <w:sz w:val="24"/>
          <w:szCs w:val="24"/>
        </w:rPr>
        <w:t>. This is not a real time exchange.</w:t>
      </w:r>
    </w:p>
    <w:p w:rsidR="004E6FD3" w:rsidRPr="00AA2D37" w:rsidRDefault="004E6FD3" w:rsidP="004E6FD3">
      <w:pPr>
        <w:pStyle w:val="ListParagraph"/>
        <w:numPr>
          <w:ilvl w:val="0"/>
          <w:numId w:val="1"/>
        </w:numPr>
        <w:rPr>
          <w:b/>
          <w:sz w:val="24"/>
          <w:szCs w:val="24"/>
        </w:rPr>
      </w:pPr>
      <w:r w:rsidRPr="00515DE2">
        <w:rPr>
          <w:sz w:val="24"/>
          <w:szCs w:val="24"/>
        </w:rPr>
        <w:t>Unlike BSE and NSE,</w:t>
      </w:r>
      <w:r>
        <w:rPr>
          <w:sz w:val="24"/>
          <w:szCs w:val="24"/>
        </w:rPr>
        <w:t xml:space="preserve"> where anyone can buy shares – including taking loans, </w:t>
      </w:r>
      <w:r w:rsidR="00C92886">
        <w:rPr>
          <w:sz w:val="24"/>
          <w:szCs w:val="24"/>
        </w:rPr>
        <w:t xml:space="preserve">here </w:t>
      </w:r>
      <w:r w:rsidR="00C92886" w:rsidRPr="00515DE2">
        <w:rPr>
          <w:sz w:val="24"/>
          <w:szCs w:val="24"/>
        </w:rPr>
        <w:t>only</w:t>
      </w:r>
      <w:r w:rsidRPr="00515DE2">
        <w:rPr>
          <w:sz w:val="24"/>
          <w:szCs w:val="24"/>
        </w:rPr>
        <w:t xml:space="preserve"> qualified investor</w:t>
      </w:r>
      <w:r>
        <w:rPr>
          <w:sz w:val="24"/>
          <w:szCs w:val="24"/>
        </w:rPr>
        <w:t>s</w:t>
      </w:r>
      <w:r w:rsidRPr="00515DE2">
        <w:rPr>
          <w:sz w:val="24"/>
          <w:szCs w:val="24"/>
        </w:rPr>
        <w:t xml:space="preserve"> will be able to invest in </w:t>
      </w:r>
      <w:r w:rsidR="001C3479">
        <w:rPr>
          <w:sz w:val="24"/>
          <w:szCs w:val="24"/>
        </w:rPr>
        <w:t>pre-</w:t>
      </w:r>
      <w:r w:rsidRPr="00515DE2">
        <w:rPr>
          <w:sz w:val="24"/>
          <w:szCs w:val="24"/>
        </w:rPr>
        <w:t>qualified and registered companies.</w:t>
      </w:r>
    </w:p>
    <w:p w:rsidR="004E6FD3" w:rsidRPr="00E0535A" w:rsidRDefault="004E6FD3" w:rsidP="004E6FD3">
      <w:pPr>
        <w:pStyle w:val="ListParagraph"/>
        <w:numPr>
          <w:ilvl w:val="0"/>
          <w:numId w:val="1"/>
        </w:numPr>
        <w:rPr>
          <w:b/>
          <w:sz w:val="24"/>
          <w:szCs w:val="24"/>
        </w:rPr>
      </w:pPr>
      <w:r>
        <w:rPr>
          <w:sz w:val="24"/>
          <w:szCs w:val="24"/>
        </w:rPr>
        <w:t>We are also looking to see how we can engage growth stage companies that have received funding and are incubated in India backed by leading universities.</w:t>
      </w:r>
    </w:p>
    <w:p w:rsidR="004E6FD3" w:rsidRPr="001C3479" w:rsidRDefault="004E6FD3" w:rsidP="004E6FD3">
      <w:pPr>
        <w:pStyle w:val="ListParagraph"/>
        <w:numPr>
          <w:ilvl w:val="0"/>
          <w:numId w:val="1"/>
        </w:numPr>
        <w:rPr>
          <w:b/>
          <w:sz w:val="24"/>
          <w:szCs w:val="24"/>
        </w:rPr>
      </w:pPr>
      <w:r>
        <w:rPr>
          <w:sz w:val="24"/>
          <w:szCs w:val="24"/>
        </w:rPr>
        <w:t xml:space="preserve">Not everyone can get listed </w:t>
      </w:r>
      <w:r w:rsidR="00FD19FE">
        <w:rPr>
          <w:sz w:val="24"/>
          <w:szCs w:val="24"/>
        </w:rPr>
        <w:t xml:space="preserve">on this platform </w:t>
      </w:r>
      <w:r>
        <w:rPr>
          <w:sz w:val="24"/>
          <w:szCs w:val="24"/>
        </w:rPr>
        <w:t>and not everyone can buy</w:t>
      </w:r>
      <w:r w:rsidR="001C3479">
        <w:rPr>
          <w:sz w:val="24"/>
          <w:szCs w:val="24"/>
        </w:rPr>
        <w:t xml:space="preserve"> on SharesVault</w:t>
      </w:r>
      <w:r>
        <w:rPr>
          <w:sz w:val="24"/>
          <w:szCs w:val="24"/>
        </w:rPr>
        <w:t>.</w:t>
      </w:r>
    </w:p>
    <w:p w:rsidR="001C3479" w:rsidRPr="00BA61B7" w:rsidRDefault="001C3479" w:rsidP="004E6FD3">
      <w:pPr>
        <w:pStyle w:val="ListParagraph"/>
        <w:numPr>
          <w:ilvl w:val="0"/>
          <w:numId w:val="1"/>
        </w:numPr>
        <w:rPr>
          <w:b/>
          <w:sz w:val="24"/>
          <w:szCs w:val="24"/>
        </w:rPr>
      </w:pPr>
      <w:r>
        <w:rPr>
          <w:sz w:val="24"/>
          <w:szCs w:val="24"/>
        </w:rPr>
        <w:lastRenderedPageBreak/>
        <w:t>We are also looking to see how we can engage growth stage companies that have received funding and are incubated in India backed by leading universities, Department of Science and Technology and other bodies.</w:t>
      </w:r>
    </w:p>
    <w:p w:rsidR="00BA61B7" w:rsidRPr="00AA2D37" w:rsidRDefault="00BA61B7" w:rsidP="004E6FD3">
      <w:pPr>
        <w:pStyle w:val="ListParagraph"/>
        <w:numPr>
          <w:ilvl w:val="0"/>
          <w:numId w:val="1"/>
        </w:numPr>
        <w:rPr>
          <w:b/>
          <w:sz w:val="24"/>
          <w:szCs w:val="24"/>
        </w:rPr>
      </w:pPr>
      <w:r>
        <w:rPr>
          <w:sz w:val="24"/>
          <w:szCs w:val="24"/>
        </w:rPr>
        <w:t xml:space="preserve">For HNIs, Institutional Investors and Private Equity funds this platform is boon. Company listed on SharesVault are thoroughly verified and valued by reputed Empanelled Vendors. Vision of the investor comes into play in choosing the correct company.    </w:t>
      </w:r>
    </w:p>
    <w:p w:rsidR="004E6FD3" w:rsidRDefault="00B67A0A" w:rsidP="004E6FD3">
      <w:pPr>
        <w:rPr>
          <w:b/>
          <w:sz w:val="28"/>
          <w:szCs w:val="28"/>
        </w:rPr>
      </w:pPr>
      <w:r>
        <w:rPr>
          <w:b/>
          <w:sz w:val="28"/>
          <w:szCs w:val="28"/>
        </w:rPr>
        <w:t>Model:</w:t>
      </w:r>
    </w:p>
    <w:p w:rsidR="00B67A0A" w:rsidRDefault="004C297D" w:rsidP="00B67A0A">
      <w:pPr>
        <w:pStyle w:val="ListParagraph"/>
        <w:rPr>
          <w:b/>
          <w:sz w:val="28"/>
          <w:szCs w:val="28"/>
        </w:rPr>
      </w:pPr>
      <w:r w:rsidRPr="004C297D">
        <w:rPr>
          <w:noProof/>
          <w:sz w:val="24"/>
          <w:szCs w:val="24"/>
        </w:rPr>
        <w:drawing>
          <wp:inline distT="0" distB="0" distL="0" distR="0">
            <wp:extent cx="5731510" cy="3426659"/>
            <wp:effectExtent l="19050" t="0" r="2540" b="0"/>
            <wp:docPr id="2"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63000" cy="5238750"/>
                      <a:chOff x="381000" y="1847850"/>
                      <a:chExt cx="8763000" cy="5238750"/>
                    </a:xfrm>
                  </a:grpSpPr>
                  <a:sp>
                    <a:nvSpPr>
                      <a:cNvPr id="7" name="Oval 6"/>
                      <a:cNvSpPr/>
                    </a:nvSpPr>
                    <a:spPr>
                      <a:xfrm>
                        <a:off x="1447800" y="2057400"/>
                        <a:ext cx="685800" cy="685800"/>
                      </a:xfrm>
                      <a:prstGeom prst="ellipse">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IN"/>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9" name="Straight Connector 8"/>
                      <a:cNvCxnSpPr>
                        <a:stCxn id="7" idx="4"/>
                      </a:cNvCxnSpPr>
                    </a:nvCxnSpPr>
                    <a:spPr>
                      <a:xfrm rot="16200000" flipH="1">
                        <a:off x="1276350" y="3257550"/>
                        <a:ext cx="1066800" cy="38100"/>
                      </a:xfrm>
                      <a:prstGeom prst="line">
                        <a:avLst/>
                      </a:prstGeom>
                    </a:spPr>
                    <a:style>
                      <a:lnRef idx="1">
                        <a:schemeClr val="accent1"/>
                      </a:lnRef>
                      <a:fillRef idx="0">
                        <a:schemeClr val="accent1"/>
                      </a:fillRef>
                      <a:effectRef idx="0">
                        <a:schemeClr val="accent1"/>
                      </a:effectRef>
                      <a:fontRef idx="minor">
                        <a:schemeClr val="tx1"/>
                      </a:fontRef>
                    </a:style>
                  </a:cxnSp>
                  <a:cxnSp>
                    <a:nvCxnSpPr>
                      <a:cNvPr id="18" name="Straight Connector 17"/>
                      <a:cNvCxnSpPr>
                        <a:stCxn id="7" idx="4"/>
                      </a:cNvCxnSpPr>
                    </a:nvCxnSpPr>
                    <a:spPr>
                      <a:xfrm rot="5400000">
                        <a:off x="1352550" y="2609850"/>
                        <a:ext cx="304800" cy="571500"/>
                      </a:xfrm>
                      <a:prstGeom prst="line">
                        <a:avLst/>
                      </a:prstGeom>
                    </a:spPr>
                    <a:style>
                      <a:lnRef idx="1">
                        <a:schemeClr val="accent1"/>
                      </a:lnRef>
                      <a:fillRef idx="0">
                        <a:schemeClr val="accent1"/>
                      </a:fillRef>
                      <a:effectRef idx="0">
                        <a:schemeClr val="accent1"/>
                      </a:effectRef>
                      <a:fontRef idx="minor">
                        <a:schemeClr val="tx1"/>
                      </a:fontRef>
                    </a:style>
                  </a:cxnSp>
                  <a:cxnSp>
                    <a:nvCxnSpPr>
                      <a:cNvPr id="20" name="Straight Connector 19"/>
                      <a:cNvCxnSpPr>
                        <a:stCxn id="7" idx="4"/>
                      </a:cNvCxnSpPr>
                    </a:nvCxnSpPr>
                    <a:spPr>
                      <a:xfrm rot="16200000" flipH="1">
                        <a:off x="1924050" y="2609850"/>
                        <a:ext cx="304800" cy="571500"/>
                      </a:xfrm>
                      <a:prstGeom prst="line">
                        <a:avLst/>
                      </a:prstGeom>
                    </a:spPr>
                    <a:style>
                      <a:lnRef idx="1">
                        <a:schemeClr val="accent1"/>
                      </a:lnRef>
                      <a:fillRef idx="0">
                        <a:schemeClr val="accent1"/>
                      </a:fillRef>
                      <a:effectRef idx="0">
                        <a:schemeClr val="accent1"/>
                      </a:effectRef>
                      <a:fontRef idx="minor">
                        <a:schemeClr val="tx1"/>
                      </a:fontRef>
                    </a:style>
                  </a:cxnSp>
                  <a:cxnSp>
                    <a:nvCxnSpPr>
                      <a:cNvPr id="23" name="Straight Connector 22"/>
                      <a:cNvCxnSpPr/>
                    </a:nvCxnSpPr>
                    <a:spPr>
                      <a:xfrm rot="10800000" flipV="1">
                        <a:off x="1295400" y="3810000"/>
                        <a:ext cx="533400" cy="457200"/>
                      </a:xfrm>
                      <a:prstGeom prst="line">
                        <a:avLst/>
                      </a:prstGeom>
                    </a:spPr>
                    <a:style>
                      <a:lnRef idx="1">
                        <a:schemeClr val="accent1"/>
                      </a:lnRef>
                      <a:fillRef idx="0">
                        <a:schemeClr val="accent1"/>
                      </a:fillRef>
                      <a:effectRef idx="0">
                        <a:schemeClr val="accent1"/>
                      </a:effectRef>
                      <a:fontRef idx="minor">
                        <a:schemeClr val="tx1"/>
                      </a:fontRef>
                    </a:style>
                  </a:cxnSp>
                  <a:cxnSp>
                    <a:nvCxnSpPr>
                      <a:cNvPr id="26" name="Straight Connector 25"/>
                      <a:cNvCxnSpPr/>
                    </a:nvCxnSpPr>
                    <a:spPr>
                      <a:xfrm rot="16200000" flipH="1">
                        <a:off x="1828800" y="3810000"/>
                        <a:ext cx="457200" cy="457200"/>
                      </a:xfrm>
                      <a:prstGeom prst="line">
                        <a:avLst/>
                      </a:prstGeom>
                    </a:spPr>
                    <a:style>
                      <a:lnRef idx="1">
                        <a:schemeClr val="accent1"/>
                      </a:lnRef>
                      <a:fillRef idx="0">
                        <a:schemeClr val="accent1"/>
                      </a:fillRef>
                      <a:effectRef idx="0">
                        <a:schemeClr val="accent1"/>
                      </a:effectRef>
                      <a:fontRef idx="minor">
                        <a:schemeClr val="tx1"/>
                      </a:fontRef>
                    </a:style>
                  </a:cxnSp>
                  <a:sp>
                    <a:nvSpPr>
                      <a:cNvPr id="28" name="Oval 27"/>
                      <a:cNvSpPr/>
                    </a:nvSpPr>
                    <a:spPr>
                      <a:xfrm>
                        <a:off x="7162800" y="2057400"/>
                        <a:ext cx="685800" cy="685800"/>
                      </a:xfrm>
                      <a:prstGeom prst="ellipse">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IN"/>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9" name="Straight Connector 28"/>
                      <a:cNvCxnSpPr>
                        <a:stCxn id="28" idx="4"/>
                      </a:cNvCxnSpPr>
                    </a:nvCxnSpPr>
                    <a:spPr>
                      <a:xfrm rot="16200000" flipH="1">
                        <a:off x="6991350" y="3257550"/>
                        <a:ext cx="1066800" cy="38100"/>
                      </a:xfrm>
                      <a:prstGeom prst="line">
                        <a:avLst/>
                      </a:prstGeom>
                    </a:spPr>
                    <a:style>
                      <a:lnRef idx="1">
                        <a:schemeClr val="accent1"/>
                      </a:lnRef>
                      <a:fillRef idx="0">
                        <a:schemeClr val="accent1"/>
                      </a:fillRef>
                      <a:effectRef idx="0">
                        <a:schemeClr val="accent1"/>
                      </a:effectRef>
                      <a:fontRef idx="minor">
                        <a:schemeClr val="tx1"/>
                      </a:fontRef>
                    </a:style>
                  </a:cxnSp>
                  <a:cxnSp>
                    <a:nvCxnSpPr>
                      <a:cNvPr id="30" name="Straight Connector 29"/>
                      <a:cNvCxnSpPr>
                        <a:stCxn id="28" idx="4"/>
                      </a:cNvCxnSpPr>
                    </a:nvCxnSpPr>
                    <a:spPr>
                      <a:xfrm rot="5400000">
                        <a:off x="7067550" y="2609850"/>
                        <a:ext cx="304800" cy="571500"/>
                      </a:xfrm>
                      <a:prstGeom prst="line">
                        <a:avLst/>
                      </a:prstGeom>
                    </a:spPr>
                    <a:style>
                      <a:lnRef idx="1">
                        <a:schemeClr val="accent1"/>
                      </a:lnRef>
                      <a:fillRef idx="0">
                        <a:schemeClr val="accent1"/>
                      </a:fillRef>
                      <a:effectRef idx="0">
                        <a:schemeClr val="accent1"/>
                      </a:effectRef>
                      <a:fontRef idx="minor">
                        <a:schemeClr val="tx1"/>
                      </a:fontRef>
                    </a:style>
                  </a:cxnSp>
                  <a:cxnSp>
                    <a:nvCxnSpPr>
                      <a:cNvPr id="31" name="Straight Connector 30"/>
                      <a:cNvCxnSpPr>
                        <a:stCxn id="28" idx="4"/>
                      </a:cNvCxnSpPr>
                    </a:nvCxnSpPr>
                    <a:spPr>
                      <a:xfrm rot="16200000" flipH="1">
                        <a:off x="7639050" y="2609850"/>
                        <a:ext cx="304800" cy="571500"/>
                      </a:xfrm>
                      <a:prstGeom prst="line">
                        <a:avLst/>
                      </a:prstGeom>
                    </a:spPr>
                    <a:style>
                      <a:lnRef idx="1">
                        <a:schemeClr val="accent1"/>
                      </a:lnRef>
                      <a:fillRef idx="0">
                        <a:schemeClr val="accent1"/>
                      </a:fillRef>
                      <a:effectRef idx="0">
                        <a:schemeClr val="accent1"/>
                      </a:effectRef>
                      <a:fontRef idx="minor">
                        <a:schemeClr val="tx1"/>
                      </a:fontRef>
                    </a:style>
                  </a:cxnSp>
                  <a:cxnSp>
                    <a:nvCxnSpPr>
                      <a:cNvPr id="32" name="Straight Connector 31"/>
                      <a:cNvCxnSpPr/>
                    </a:nvCxnSpPr>
                    <a:spPr>
                      <a:xfrm rot="10800000" flipV="1">
                        <a:off x="7010400" y="3810000"/>
                        <a:ext cx="533400" cy="457200"/>
                      </a:xfrm>
                      <a:prstGeom prst="line">
                        <a:avLst/>
                      </a:prstGeom>
                    </a:spPr>
                    <a:style>
                      <a:lnRef idx="1">
                        <a:schemeClr val="accent1"/>
                      </a:lnRef>
                      <a:fillRef idx="0">
                        <a:schemeClr val="accent1"/>
                      </a:fillRef>
                      <a:effectRef idx="0">
                        <a:schemeClr val="accent1"/>
                      </a:effectRef>
                      <a:fontRef idx="minor">
                        <a:schemeClr val="tx1"/>
                      </a:fontRef>
                    </a:style>
                  </a:cxnSp>
                  <a:cxnSp>
                    <a:nvCxnSpPr>
                      <a:cNvPr id="33" name="Straight Connector 32"/>
                      <a:cNvCxnSpPr/>
                    </a:nvCxnSpPr>
                    <a:spPr>
                      <a:xfrm rot="16200000" flipH="1">
                        <a:off x="7543800" y="3810000"/>
                        <a:ext cx="457200" cy="457200"/>
                      </a:xfrm>
                      <a:prstGeom prst="line">
                        <a:avLst/>
                      </a:prstGeom>
                    </a:spPr>
                    <a:style>
                      <a:lnRef idx="1">
                        <a:schemeClr val="accent1"/>
                      </a:lnRef>
                      <a:fillRef idx="0">
                        <a:schemeClr val="accent1"/>
                      </a:fillRef>
                      <a:effectRef idx="0">
                        <a:schemeClr val="accent1"/>
                      </a:effectRef>
                      <a:fontRef idx="minor">
                        <a:schemeClr val="tx1"/>
                      </a:fontRef>
                    </a:style>
                  </a:cxnSp>
                  <a:sp>
                    <a:nvSpPr>
                      <a:cNvPr id="41" name="Rectangle 40"/>
                      <a:cNvSpPr/>
                    </a:nvSpPr>
                    <a:spPr>
                      <a:xfrm>
                        <a:off x="914400" y="1847850"/>
                        <a:ext cx="1828800" cy="2514600"/>
                      </a:xfrm>
                      <a:prstGeom prst="rect">
                        <a:avLst/>
                      </a:prstGeom>
                      <a:noFill/>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IN"/>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Rectangle 41"/>
                      <a:cNvSpPr/>
                    </a:nvSpPr>
                    <a:spPr>
                      <a:xfrm>
                        <a:off x="6629400" y="1870075"/>
                        <a:ext cx="1828800" cy="2514600"/>
                      </a:xfrm>
                      <a:prstGeom prst="rect">
                        <a:avLst/>
                      </a:prstGeom>
                      <a:noFill/>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IN"/>
                        </a:p>
                      </a:txBody>
                      <a:useSpRect/>
                    </a:txSp>
                    <a:style>
                      <a:lnRef idx="2">
                        <a:schemeClr val="accent1">
                          <a:shade val="50000"/>
                        </a:schemeClr>
                      </a:lnRef>
                      <a:fillRef idx="1">
                        <a:schemeClr val="accent1"/>
                      </a:fillRef>
                      <a:effectRef idx="0">
                        <a:schemeClr val="accent1"/>
                      </a:effectRef>
                      <a:fontRef idx="minor">
                        <a:schemeClr val="lt1"/>
                      </a:fontRef>
                    </a:style>
                  </a:sp>
                  <a:sp>
                    <a:nvSpPr>
                      <a:cNvPr id="15379" name="TextBox 42"/>
                      <a:cNvSpPr txBox="1">
                        <a:spLocks noChangeArrowheads="1"/>
                      </a:cNvSpPr>
                    </a:nvSpPr>
                    <a:spPr bwMode="auto">
                      <a:xfrm>
                        <a:off x="944563" y="4532313"/>
                        <a:ext cx="1905000" cy="862012"/>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a:t>     Investors </a:t>
                          </a:r>
                        </a:p>
                        <a:p>
                          <a:r>
                            <a:rPr lang="en-US"/>
                            <a:t>    </a:t>
                          </a:r>
                          <a:r>
                            <a:rPr lang="en-US" sz="1400"/>
                            <a:t>i.e. HNIs and Institutional Investors </a:t>
                          </a:r>
                          <a:endParaRPr lang="en-IN" sz="1400"/>
                        </a:p>
                      </a:txBody>
                      <a:useSpRect/>
                    </a:txSp>
                  </a:sp>
                  <a:sp>
                    <a:nvSpPr>
                      <a:cNvPr id="44" name="Right Arrow 43"/>
                      <a:cNvSpPr/>
                    </a:nvSpPr>
                    <a:spPr>
                      <a:xfrm>
                        <a:off x="2743200" y="2967038"/>
                        <a:ext cx="1066800" cy="152400"/>
                      </a:xfrm>
                      <a:prstGeom prst="rightArrow">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IN"/>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Right Arrow 44"/>
                      <a:cNvSpPr/>
                    </a:nvSpPr>
                    <a:spPr>
                      <a:xfrm rot="10800000">
                        <a:off x="5638800" y="3013075"/>
                        <a:ext cx="990600" cy="152400"/>
                      </a:xfrm>
                      <a:prstGeom prst="rightArrow">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IN"/>
                        </a:p>
                      </a:txBody>
                      <a:useSpRect/>
                    </a:txSp>
                    <a:style>
                      <a:lnRef idx="2">
                        <a:schemeClr val="accent1">
                          <a:shade val="50000"/>
                        </a:schemeClr>
                      </a:lnRef>
                      <a:fillRef idx="1">
                        <a:schemeClr val="accent1"/>
                      </a:fillRef>
                      <a:effectRef idx="0">
                        <a:schemeClr val="accent1"/>
                      </a:effectRef>
                      <a:fontRef idx="minor">
                        <a:schemeClr val="lt1"/>
                      </a:fontRef>
                    </a:style>
                  </a:sp>
                  <a:sp>
                    <a:nvSpPr>
                      <a:cNvPr id="15382" name="TextBox 45"/>
                      <a:cNvSpPr txBox="1">
                        <a:spLocks noChangeArrowheads="1"/>
                      </a:cNvSpPr>
                    </a:nvSpPr>
                    <a:spPr bwMode="auto">
                      <a:xfrm>
                        <a:off x="6629400" y="4510088"/>
                        <a:ext cx="1905000" cy="862012"/>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a:t>      Growing        </a:t>
                          </a:r>
                        </a:p>
                        <a:p>
                          <a:r>
                            <a:rPr lang="en-US"/>
                            <a:t>    Companies</a:t>
                          </a:r>
                        </a:p>
                        <a:p>
                          <a:r>
                            <a:rPr lang="en-US" sz="1400"/>
                            <a:t>i.e. Pvt Ltd Company</a:t>
                          </a:r>
                          <a:endParaRPr lang="en-IN" sz="1400"/>
                        </a:p>
                      </a:txBody>
                      <a:useSpRect/>
                    </a:txSp>
                  </a:sp>
                  <a:sp>
                    <a:nvSpPr>
                      <a:cNvPr id="47" name="Rectangle 46"/>
                      <a:cNvSpPr/>
                    </a:nvSpPr>
                    <a:spPr>
                      <a:xfrm>
                        <a:off x="3886200" y="2544763"/>
                        <a:ext cx="1676400" cy="990600"/>
                      </a:xfrm>
                      <a:prstGeom prst="rect">
                        <a:avLst/>
                      </a:prstGeom>
                      <a:noFill/>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IN"/>
                        </a:p>
                      </a:txBody>
                      <a:useSpRect/>
                    </a:txSp>
                    <a:style>
                      <a:lnRef idx="2">
                        <a:schemeClr val="accent1">
                          <a:shade val="50000"/>
                        </a:schemeClr>
                      </a:lnRef>
                      <a:fillRef idx="1">
                        <a:schemeClr val="accent1"/>
                      </a:fillRef>
                      <a:effectRef idx="0">
                        <a:schemeClr val="accent1"/>
                      </a:effectRef>
                      <a:fontRef idx="minor">
                        <a:schemeClr val="lt1"/>
                      </a:fontRef>
                    </a:style>
                  </a:sp>
                  <a:sp>
                    <a:nvSpPr>
                      <a:cNvPr id="15384" name="TextBox 47"/>
                      <a:cNvSpPr txBox="1">
                        <a:spLocks noChangeArrowheads="1"/>
                      </a:cNvSpPr>
                    </a:nvSpPr>
                    <a:spPr bwMode="auto">
                      <a:xfrm>
                        <a:off x="3997325" y="2849563"/>
                        <a:ext cx="1447800" cy="369887"/>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a:t>SharesVault</a:t>
                          </a:r>
                          <a:endParaRPr lang="en-IN"/>
                        </a:p>
                      </a:txBody>
                      <a:useSpRect/>
                    </a:txSp>
                  </a:sp>
                  <a:sp>
                    <a:nvSpPr>
                      <a:cNvPr id="53" name="Vertical Scroll 52"/>
                      <a:cNvSpPr/>
                    </a:nvSpPr>
                    <a:spPr>
                      <a:xfrm>
                        <a:off x="381000" y="5348288"/>
                        <a:ext cx="2819400" cy="1509712"/>
                      </a:xfrm>
                      <a:prstGeom prst="verticalScroll">
                        <a:avLst/>
                      </a:prstGeom>
                      <a:noFill/>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IN"/>
                        </a:p>
                      </a:txBody>
                      <a:useSpRect/>
                    </a:txSp>
                    <a:style>
                      <a:lnRef idx="2">
                        <a:schemeClr val="accent1">
                          <a:shade val="50000"/>
                        </a:schemeClr>
                      </a:lnRef>
                      <a:fillRef idx="1">
                        <a:schemeClr val="accent1"/>
                      </a:fillRef>
                      <a:effectRef idx="0">
                        <a:schemeClr val="accent1"/>
                      </a:effectRef>
                      <a:fontRef idx="minor">
                        <a:schemeClr val="lt1"/>
                      </a:fontRef>
                    </a:style>
                  </a:sp>
                  <a:sp>
                    <a:nvSpPr>
                      <a:cNvPr id="15386" name="TextBox 53"/>
                      <a:cNvSpPr txBox="1">
                        <a:spLocks noChangeArrowheads="1"/>
                      </a:cNvSpPr>
                    </a:nvSpPr>
                    <a:spPr bwMode="auto">
                      <a:xfrm>
                        <a:off x="579438" y="5486400"/>
                        <a:ext cx="2438400" cy="160020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just"/>
                          <a:r>
                            <a:rPr lang="en-US" sz="1400" dirty="0"/>
                            <a:t>HNIs with minimum 2 Lacs Rs. Investment capacity are eligible. They will get dividend from company and can sell their shares to other investors.</a:t>
                          </a:r>
                        </a:p>
                        <a:p>
                          <a:r>
                            <a:rPr lang="en-US" sz="1400" dirty="0"/>
                            <a:t> </a:t>
                          </a:r>
                          <a:endParaRPr lang="en-IN" sz="1400" dirty="0"/>
                        </a:p>
                      </a:txBody>
                      <a:useSpRect/>
                    </a:txSp>
                  </a:sp>
                  <a:sp>
                    <a:nvSpPr>
                      <a:cNvPr id="55" name="Vertical Scroll 54"/>
                      <a:cNvSpPr/>
                    </a:nvSpPr>
                    <a:spPr>
                      <a:xfrm>
                        <a:off x="6400800" y="5335588"/>
                        <a:ext cx="2743200" cy="1522412"/>
                      </a:xfrm>
                      <a:prstGeom prst="verticalScroll">
                        <a:avLst/>
                      </a:prstGeom>
                      <a:noFill/>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IN"/>
                        </a:p>
                      </a:txBody>
                      <a:useSpRect/>
                    </a:txSp>
                    <a:style>
                      <a:lnRef idx="2">
                        <a:schemeClr val="accent1">
                          <a:shade val="50000"/>
                        </a:schemeClr>
                      </a:lnRef>
                      <a:fillRef idx="1">
                        <a:schemeClr val="accent1"/>
                      </a:fillRef>
                      <a:effectRef idx="0">
                        <a:schemeClr val="accent1"/>
                      </a:effectRef>
                      <a:fontRef idx="minor">
                        <a:schemeClr val="lt1"/>
                      </a:fontRef>
                    </a:style>
                  </a:sp>
                  <a:sp>
                    <a:nvSpPr>
                      <a:cNvPr id="15388" name="TextBox 55"/>
                      <a:cNvSpPr txBox="1">
                        <a:spLocks noChangeArrowheads="1"/>
                      </a:cNvSpPr>
                    </a:nvSpPr>
                    <a:spPr bwMode="auto">
                      <a:xfrm>
                        <a:off x="6629400" y="5486400"/>
                        <a:ext cx="2362200" cy="160020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1400" dirty="0"/>
                            <a:t>Any Pvt. Ltd. Company</a:t>
                          </a:r>
                        </a:p>
                        <a:p>
                          <a:r>
                            <a:rPr lang="en-US" sz="1400" dirty="0"/>
                            <a:t>which is making profit</a:t>
                          </a:r>
                        </a:p>
                        <a:p>
                          <a:r>
                            <a:rPr lang="en-US" sz="1400" dirty="0"/>
                            <a:t>since last 3 yrs with</a:t>
                          </a:r>
                        </a:p>
                        <a:p>
                          <a:r>
                            <a:rPr lang="en-US" sz="1400" dirty="0"/>
                            <a:t>scalable model and ready</a:t>
                          </a:r>
                        </a:p>
                        <a:p>
                          <a:r>
                            <a:rPr lang="en-US" sz="1400" dirty="0"/>
                            <a:t>to dilute minimum 2 % </a:t>
                          </a:r>
                        </a:p>
                        <a:p>
                          <a:r>
                            <a:rPr lang="en-US" sz="1400" dirty="0"/>
                            <a:t>equity is eligible</a:t>
                          </a:r>
                        </a:p>
                        <a:p>
                          <a:r>
                            <a:rPr lang="en-US" sz="1400" dirty="0"/>
                            <a:t> </a:t>
                          </a:r>
                          <a:endParaRPr lang="en-IN" sz="1400" dirty="0"/>
                        </a:p>
                      </a:txBody>
                      <a:useSpRect/>
                    </a:txSp>
                  </a:sp>
                  <a:sp>
                    <a:nvSpPr>
                      <a:cNvPr id="59" name="Vertical Scroll 58"/>
                      <a:cNvSpPr/>
                    </a:nvSpPr>
                    <a:spPr>
                      <a:xfrm>
                        <a:off x="3206750" y="3581400"/>
                        <a:ext cx="3124200" cy="3276600"/>
                      </a:xfrm>
                      <a:prstGeom prst="verticalScroll">
                        <a:avLst/>
                      </a:prstGeom>
                      <a:noFill/>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IN"/>
                        </a:p>
                      </a:txBody>
                      <a:useSpRect/>
                    </a:txSp>
                    <a:style>
                      <a:lnRef idx="2">
                        <a:schemeClr val="accent1">
                          <a:shade val="50000"/>
                        </a:schemeClr>
                      </a:lnRef>
                      <a:fillRef idx="1">
                        <a:schemeClr val="accent1"/>
                      </a:fillRef>
                      <a:effectRef idx="0">
                        <a:schemeClr val="accent1"/>
                      </a:effectRef>
                      <a:fontRef idx="minor">
                        <a:schemeClr val="lt1"/>
                      </a:fontRef>
                    </a:style>
                  </a:sp>
                  <a:sp>
                    <a:nvSpPr>
                      <a:cNvPr id="15390" name="TextBox 59"/>
                      <a:cNvSpPr txBox="1">
                        <a:spLocks noChangeArrowheads="1"/>
                      </a:cNvSpPr>
                    </a:nvSpPr>
                    <a:spPr bwMode="auto">
                      <a:xfrm>
                        <a:off x="3657600" y="4038600"/>
                        <a:ext cx="2286000" cy="289242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just">
                            <a:buFont typeface="Arial" charset="0"/>
                            <a:buChar char="•"/>
                          </a:pPr>
                          <a:r>
                            <a:rPr lang="en-US" sz="1300" dirty="0"/>
                            <a:t> </a:t>
                          </a:r>
                          <a:r>
                            <a:rPr lang="en-US" sz="1400" dirty="0"/>
                            <a:t>SharesVault will evaluate company’s share price based on certain criteria.</a:t>
                          </a:r>
                        </a:p>
                        <a:p>
                          <a:pPr algn="just">
                            <a:buFont typeface="Arial" charset="0"/>
                            <a:buChar char="•"/>
                          </a:pPr>
                          <a:r>
                            <a:rPr lang="en-US" sz="1400" dirty="0"/>
                            <a:t> On company's approval investor can buy shares of </a:t>
                          </a:r>
                        </a:p>
                        <a:p>
                          <a:pPr algn="just"/>
                          <a:r>
                            <a:rPr lang="en-US" sz="1400" dirty="0"/>
                            <a:t>companies for minimum 1 week period through SharesVault.</a:t>
                          </a:r>
                        </a:p>
                        <a:p>
                          <a:pPr algn="just">
                            <a:buFont typeface="Arial" charset="0"/>
                            <a:buChar char="•"/>
                          </a:pPr>
                          <a:r>
                            <a:rPr lang="en-US" sz="1400" dirty="0"/>
                            <a:t> SharesVault will earn money through each company </a:t>
                          </a:r>
                          <a:r>
                            <a:rPr lang="en-US" sz="1400" dirty="0" smtClean="0"/>
                            <a:t>registration and </a:t>
                          </a:r>
                          <a:r>
                            <a:rPr lang="en-US" sz="1400" dirty="0"/>
                            <a:t>every transaction</a:t>
                          </a:r>
                        </a:p>
                        <a:p>
                          <a:pPr algn="just"/>
                          <a:r>
                            <a:rPr lang="en-US" sz="1400" dirty="0"/>
                            <a:t> </a:t>
                          </a:r>
                          <a:endParaRPr lang="en-IN" sz="1400" dirty="0"/>
                        </a:p>
                      </a:txBody>
                      <a:useSpRect/>
                    </a:txSp>
                  </a:sp>
                </lc:lockedCanvas>
              </a:graphicData>
            </a:graphic>
          </wp:inline>
        </w:drawing>
      </w:r>
    </w:p>
    <w:p w:rsidR="004E6FD3" w:rsidRPr="00B67A0A" w:rsidRDefault="004E6FD3" w:rsidP="00B67A0A">
      <w:pPr>
        <w:rPr>
          <w:sz w:val="24"/>
          <w:szCs w:val="24"/>
        </w:rPr>
      </w:pPr>
      <w:r w:rsidRPr="00B67A0A">
        <w:rPr>
          <w:b/>
          <w:sz w:val="28"/>
          <w:szCs w:val="28"/>
        </w:rPr>
        <w:t>Sales Strategy:</w:t>
      </w:r>
    </w:p>
    <w:p w:rsidR="004E6FD3" w:rsidRPr="004D5BE3" w:rsidRDefault="004E6FD3" w:rsidP="004E6FD3">
      <w:pPr>
        <w:pStyle w:val="ListParagraph"/>
        <w:numPr>
          <w:ilvl w:val="0"/>
          <w:numId w:val="3"/>
        </w:numPr>
        <w:rPr>
          <w:b/>
          <w:sz w:val="28"/>
          <w:szCs w:val="28"/>
        </w:rPr>
      </w:pPr>
      <w:r>
        <w:rPr>
          <w:sz w:val="24"/>
          <w:szCs w:val="24"/>
        </w:rPr>
        <w:t xml:space="preserve">SharesVault will earn money through each transaction and </w:t>
      </w:r>
      <w:r w:rsidR="00544B0F">
        <w:rPr>
          <w:sz w:val="24"/>
          <w:szCs w:val="24"/>
        </w:rPr>
        <w:t>registration</w:t>
      </w:r>
      <w:r>
        <w:rPr>
          <w:sz w:val="24"/>
          <w:szCs w:val="24"/>
        </w:rPr>
        <w:t>.</w:t>
      </w:r>
    </w:p>
    <w:p w:rsidR="004E6FD3" w:rsidRPr="004D5BE3" w:rsidRDefault="004E6FD3" w:rsidP="004E6FD3">
      <w:pPr>
        <w:pStyle w:val="ListParagraph"/>
        <w:numPr>
          <w:ilvl w:val="0"/>
          <w:numId w:val="3"/>
        </w:numPr>
        <w:rPr>
          <w:b/>
          <w:sz w:val="28"/>
          <w:szCs w:val="28"/>
        </w:rPr>
      </w:pPr>
      <w:r>
        <w:rPr>
          <w:sz w:val="24"/>
          <w:szCs w:val="24"/>
        </w:rPr>
        <w:t>For each transaction SharesVault will get 4% of transaction amount. For the first transaction, entire amount will be borne by company. For subsequent transactions, transaction fees will be split in equal between buyer and seller.</w:t>
      </w:r>
    </w:p>
    <w:p w:rsidR="004E6FD3" w:rsidRPr="004D5BE3" w:rsidRDefault="002853BE" w:rsidP="004E6FD3">
      <w:pPr>
        <w:pStyle w:val="ListParagraph"/>
        <w:numPr>
          <w:ilvl w:val="0"/>
          <w:numId w:val="3"/>
        </w:numPr>
        <w:rPr>
          <w:b/>
          <w:sz w:val="28"/>
          <w:szCs w:val="28"/>
        </w:rPr>
      </w:pPr>
      <w:r>
        <w:rPr>
          <w:sz w:val="24"/>
          <w:szCs w:val="24"/>
        </w:rPr>
        <w:t>Investors have</w:t>
      </w:r>
      <w:r w:rsidR="004E6FD3">
        <w:rPr>
          <w:sz w:val="24"/>
          <w:szCs w:val="24"/>
        </w:rPr>
        <w:t xml:space="preserve"> to pay membership fee to access online portal. Currently, we have put this price as Rs. 1000/yr.</w:t>
      </w:r>
    </w:p>
    <w:p w:rsidR="00B67A0A" w:rsidRDefault="00B67A0A" w:rsidP="009327A6">
      <w:pPr>
        <w:rPr>
          <w:b/>
          <w:sz w:val="28"/>
          <w:szCs w:val="28"/>
        </w:rPr>
      </w:pPr>
    </w:p>
    <w:p w:rsidR="00B67A0A" w:rsidRDefault="00B67A0A" w:rsidP="009327A6">
      <w:pPr>
        <w:rPr>
          <w:b/>
          <w:sz w:val="28"/>
          <w:szCs w:val="28"/>
        </w:rPr>
      </w:pPr>
    </w:p>
    <w:p w:rsidR="00B67A0A" w:rsidRDefault="00B67A0A" w:rsidP="009327A6">
      <w:pPr>
        <w:rPr>
          <w:b/>
          <w:sz w:val="28"/>
          <w:szCs w:val="28"/>
        </w:rPr>
      </w:pPr>
    </w:p>
    <w:p w:rsidR="00B67A0A" w:rsidRDefault="00B67A0A" w:rsidP="009327A6">
      <w:pPr>
        <w:rPr>
          <w:b/>
          <w:sz w:val="28"/>
          <w:szCs w:val="28"/>
        </w:rPr>
      </w:pPr>
    </w:p>
    <w:p w:rsidR="00B67A0A" w:rsidRDefault="00B67A0A" w:rsidP="009327A6">
      <w:pPr>
        <w:rPr>
          <w:b/>
          <w:sz w:val="28"/>
          <w:szCs w:val="28"/>
        </w:rPr>
      </w:pPr>
    </w:p>
    <w:p w:rsidR="004E6FD3" w:rsidRDefault="004E6FD3" w:rsidP="009327A6">
      <w:pPr>
        <w:rPr>
          <w:b/>
          <w:sz w:val="28"/>
          <w:szCs w:val="28"/>
        </w:rPr>
      </w:pPr>
      <w:r w:rsidRPr="00680BC2">
        <w:rPr>
          <w:b/>
          <w:sz w:val="28"/>
          <w:szCs w:val="28"/>
        </w:rPr>
        <w:t xml:space="preserve">Advantages: </w:t>
      </w:r>
    </w:p>
    <w:tbl>
      <w:tblPr>
        <w:tblStyle w:val="TableGrid"/>
        <w:tblW w:w="0" w:type="auto"/>
        <w:tblInd w:w="360" w:type="dxa"/>
        <w:tblLook w:val="04A0"/>
      </w:tblPr>
      <w:tblGrid>
        <w:gridCol w:w="3859"/>
        <w:gridCol w:w="3402"/>
      </w:tblGrid>
      <w:tr w:rsidR="003328E4" w:rsidTr="003328E4">
        <w:tc>
          <w:tcPr>
            <w:tcW w:w="3859" w:type="dxa"/>
          </w:tcPr>
          <w:p w:rsidR="003328E4" w:rsidRPr="00B65FCD" w:rsidRDefault="003328E4" w:rsidP="00513DC9">
            <w:pPr>
              <w:jc w:val="center"/>
              <w:rPr>
                <w:b/>
                <w:sz w:val="26"/>
                <w:szCs w:val="26"/>
              </w:rPr>
            </w:pPr>
            <w:r w:rsidRPr="00B65FCD">
              <w:rPr>
                <w:b/>
                <w:sz w:val="26"/>
                <w:szCs w:val="26"/>
              </w:rPr>
              <w:t>Investor</w:t>
            </w:r>
          </w:p>
        </w:tc>
        <w:tc>
          <w:tcPr>
            <w:tcW w:w="3402" w:type="dxa"/>
          </w:tcPr>
          <w:p w:rsidR="003328E4" w:rsidRPr="00B65FCD" w:rsidRDefault="003328E4" w:rsidP="00513DC9">
            <w:pPr>
              <w:jc w:val="center"/>
              <w:rPr>
                <w:b/>
                <w:sz w:val="26"/>
                <w:szCs w:val="26"/>
              </w:rPr>
            </w:pPr>
            <w:r w:rsidRPr="00B65FCD">
              <w:rPr>
                <w:b/>
                <w:sz w:val="26"/>
                <w:szCs w:val="26"/>
              </w:rPr>
              <w:t>Institutional Investor</w:t>
            </w:r>
          </w:p>
        </w:tc>
      </w:tr>
      <w:tr w:rsidR="003328E4" w:rsidTr="003328E4">
        <w:tc>
          <w:tcPr>
            <w:tcW w:w="3859" w:type="dxa"/>
          </w:tcPr>
          <w:p w:rsidR="003328E4" w:rsidRPr="00B65FCD" w:rsidRDefault="003328E4" w:rsidP="004E6FD3">
            <w:pPr>
              <w:numPr>
                <w:ilvl w:val="0"/>
                <w:numId w:val="5"/>
              </w:numPr>
              <w:tabs>
                <w:tab w:val="num" w:pos="720"/>
              </w:tabs>
              <w:rPr>
                <w:sz w:val="24"/>
                <w:szCs w:val="24"/>
              </w:rPr>
            </w:pPr>
            <w:r w:rsidRPr="00B65FCD">
              <w:rPr>
                <w:sz w:val="24"/>
                <w:szCs w:val="24"/>
                <w:lang w:val="en-US"/>
              </w:rPr>
              <w:t xml:space="preserve">Online Platform to identify and invest in gem companies at early stage </w:t>
            </w:r>
          </w:p>
          <w:p w:rsidR="003328E4" w:rsidRPr="00B65FCD" w:rsidRDefault="003328E4" w:rsidP="004E6FD3">
            <w:pPr>
              <w:numPr>
                <w:ilvl w:val="0"/>
                <w:numId w:val="5"/>
              </w:numPr>
              <w:tabs>
                <w:tab w:val="num" w:pos="720"/>
              </w:tabs>
              <w:rPr>
                <w:sz w:val="24"/>
                <w:szCs w:val="24"/>
              </w:rPr>
            </w:pPr>
            <w:r w:rsidRPr="00B65FCD">
              <w:rPr>
                <w:sz w:val="24"/>
                <w:szCs w:val="24"/>
                <w:lang w:val="en-US"/>
              </w:rPr>
              <w:t xml:space="preserve">Research data and Company Information for easy decision making </w:t>
            </w:r>
          </w:p>
          <w:p w:rsidR="003328E4" w:rsidRDefault="003328E4" w:rsidP="00B67A0A">
            <w:pPr>
              <w:numPr>
                <w:ilvl w:val="0"/>
                <w:numId w:val="5"/>
              </w:numPr>
              <w:tabs>
                <w:tab w:val="num" w:pos="720"/>
              </w:tabs>
              <w:rPr>
                <w:sz w:val="24"/>
                <w:szCs w:val="24"/>
              </w:rPr>
            </w:pPr>
            <w:r w:rsidRPr="00B65FCD">
              <w:rPr>
                <w:sz w:val="24"/>
                <w:szCs w:val="24"/>
                <w:lang w:val="en-US"/>
              </w:rPr>
              <w:t xml:space="preserve">Liquidity and easy exit through SharesVault Platform </w:t>
            </w:r>
            <w:r>
              <w:rPr>
                <w:sz w:val="24"/>
                <w:szCs w:val="24"/>
                <w:lang w:val="en-US"/>
              </w:rPr>
              <w:t>with Principal protection guarantee for 1</w:t>
            </w:r>
            <w:r w:rsidRPr="003E1D6F">
              <w:rPr>
                <w:sz w:val="24"/>
                <w:szCs w:val="24"/>
                <w:vertAlign w:val="superscript"/>
                <w:lang w:val="en-US"/>
              </w:rPr>
              <w:t>st</w:t>
            </w:r>
            <w:r>
              <w:rPr>
                <w:sz w:val="24"/>
                <w:szCs w:val="24"/>
                <w:lang w:val="en-US"/>
              </w:rPr>
              <w:t xml:space="preserve"> year</w:t>
            </w:r>
          </w:p>
        </w:tc>
        <w:tc>
          <w:tcPr>
            <w:tcW w:w="3402" w:type="dxa"/>
          </w:tcPr>
          <w:p w:rsidR="003328E4" w:rsidRPr="00B65FCD" w:rsidRDefault="003328E4" w:rsidP="004E6FD3">
            <w:pPr>
              <w:numPr>
                <w:ilvl w:val="0"/>
                <w:numId w:val="7"/>
              </w:numPr>
              <w:tabs>
                <w:tab w:val="num" w:pos="720"/>
              </w:tabs>
              <w:rPr>
                <w:sz w:val="24"/>
                <w:szCs w:val="24"/>
              </w:rPr>
            </w:pPr>
            <w:r w:rsidRPr="00B65FCD">
              <w:rPr>
                <w:sz w:val="24"/>
                <w:szCs w:val="24"/>
                <w:lang w:val="en-US"/>
              </w:rPr>
              <w:t xml:space="preserve">Rich database to identify good companies for investment </w:t>
            </w:r>
          </w:p>
          <w:p w:rsidR="003328E4" w:rsidRPr="00B65FCD" w:rsidRDefault="003328E4" w:rsidP="004E6FD3">
            <w:pPr>
              <w:numPr>
                <w:ilvl w:val="0"/>
                <w:numId w:val="7"/>
              </w:numPr>
              <w:tabs>
                <w:tab w:val="num" w:pos="720"/>
              </w:tabs>
              <w:rPr>
                <w:sz w:val="24"/>
                <w:szCs w:val="24"/>
              </w:rPr>
            </w:pPr>
            <w:r w:rsidRPr="00B65FCD">
              <w:rPr>
                <w:sz w:val="24"/>
                <w:szCs w:val="24"/>
                <w:lang w:val="en-US"/>
              </w:rPr>
              <w:t xml:space="preserve">Research Reports and Company Information for decision making </w:t>
            </w:r>
          </w:p>
          <w:p w:rsidR="003328E4" w:rsidRPr="00B65FCD" w:rsidRDefault="003328E4" w:rsidP="004E6FD3">
            <w:pPr>
              <w:numPr>
                <w:ilvl w:val="0"/>
                <w:numId w:val="7"/>
              </w:numPr>
              <w:tabs>
                <w:tab w:val="num" w:pos="720"/>
              </w:tabs>
              <w:rPr>
                <w:sz w:val="24"/>
                <w:szCs w:val="24"/>
              </w:rPr>
            </w:pPr>
            <w:r w:rsidRPr="00B65FCD">
              <w:rPr>
                <w:sz w:val="24"/>
                <w:szCs w:val="24"/>
                <w:lang w:val="en-US"/>
              </w:rPr>
              <w:t xml:space="preserve">Tie ups and alliance with SharesVault for strategic deals </w:t>
            </w:r>
          </w:p>
          <w:p w:rsidR="003328E4" w:rsidRDefault="003328E4" w:rsidP="00513DC9">
            <w:pPr>
              <w:rPr>
                <w:sz w:val="24"/>
                <w:szCs w:val="24"/>
              </w:rPr>
            </w:pPr>
          </w:p>
        </w:tc>
      </w:tr>
    </w:tbl>
    <w:p w:rsidR="00B67A0A" w:rsidRDefault="00B67A0A" w:rsidP="004560FC">
      <w:pPr>
        <w:rPr>
          <w:b/>
          <w:sz w:val="28"/>
          <w:szCs w:val="28"/>
        </w:rPr>
      </w:pPr>
    </w:p>
    <w:p w:rsidR="004E6FD3" w:rsidRDefault="004E6FD3" w:rsidP="004560FC">
      <w:pPr>
        <w:rPr>
          <w:b/>
          <w:sz w:val="28"/>
          <w:szCs w:val="28"/>
        </w:rPr>
      </w:pPr>
      <w:r>
        <w:rPr>
          <w:b/>
          <w:sz w:val="28"/>
          <w:szCs w:val="28"/>
        </w:rPr>
        <w:t>Experts @ SharesVault</w:t>
      </w:r>
      <w:r w:rsidRPr="00FD5762">
        <w:rPr>
          <w:b/>
          <w:sz w:val="28"/>
          <w:szCs w:val="28"/>
        </w:rPr>
        <w:t xml:space="preserve">:  </w:t>
      </w:r>
    </w:p>
    <w:p w:rsidR="004E6FD3" w:rsidRPr="00686280" w:rsidRDefault="004E6FD3" w:rsidP="004E6FD3">
      <w:pPr>
        <w:pStyle w:val="ListParagraph"/>
        <w:numPr>
          <w:ilvl w:val="0"/>
          <w:numId w:val="3"/>
        </w:numPr>
        <w:rPr>
          <w:sz w:val="24"/>
          <w:szCs w:val="24"/>
        </w:rPr>
      </w:pPr>
      <w:r w:rsidRPr="00686280">
        <w:rPr>
          <w:sz w:val="24"/>
          <w:szCs w:val="24"/>
        </w:rPr>
        <w:t xml:space="preserve">Roshan Shah who initiated 15+ </w:t>
      </w:r>
      <w:r w:rsidR="004560FC" w:rsidRPr="00686280">
        <w:rPr>
          <w:sz w:val="24"/>
          <w:szCs w:val="24"/>
        </w:rPr>
        <w:t>start-ups</w:t>
      </w:r>
      <w:r w:rsidRPr="00686280">
        <w:rPr>
          <w:sz w:val="24"/>
          <w:szCs w:val="24"/>
        </w:rPr>
        <w:t xml:space="preserve"> and Bhavik Shah who is having good experience as CA are looking after product strategy</w:t>
      </w:r>
    </w:p>
    <w:p w:rsidR="004E6FD3" w:rsidRPr="00686280" w:rsidRDefault="004E6FD3" w:rsidP="004E6FD3">
      <w:pPr>
        <w:pStyle w:val="ListParagraph"/>
        <w:numPr>
          <w:ilvl w:val="0"/>
          <w:numId w:val="3"/>
        </w:numPr>
        <w:rPr>
          <w:sz w:val="24"/>
          <w:szCs w:val="24"/>
        </w:rPr>
      </w:pPr>
      <w:r w:rsidRPr="00686280">
        <w:rPr>
          <w:sz w:val="24"/>
          <w:szCs w:val="24"/>
        </w:rPr>
        <w:t>Keyur Shah who is CS and having his own very well established practice is advising on legal matters, share purchase agreements and ROC compliance.</w:t>
      </w:r>
    </w:p>
    <w:p w:rsidR="004E6FD3" w:rsidRPr="00686280" w:rsidRDefault="004E6FD3" w:rsidP="004E6FD3">
      <w:pPr>
        <w:pStyle w:val="ListParagraph"/>
        <w:numPr>
          <w:ilvl w:val="0"/>
          <w:numId w:val="3"/>
        </w:numPr>
        <w:rPr>
          <w:sz w:val="24"/>
          <w:szCs w:val="24"/>
        </w:rPr>
      </w:pPr>
      <w:r w:rsidRPr="00686280">
        <w:rPr>
          <w:sz w:val="24"/>
          <w:szCs w:val="24"/>
        </w:rPr>
        <w:t>Rushik Shah, CEO of Alakmalak Technologies has engaged his team for prototype development.</w:t>
      </w:r>
    </w:p>
    <w:p w:rsidR="004E6FD3" w:rsidRDefault="004E6FD3" w:rsidP="006320E1">
      <w:pPr>
        <w:rPr>
          <w:b/>
          <w:sz w:val="28"/>
          <w:szCs w:val="28"/>
        </w:rPr>
      </w:pPr>
      <w:r w:rsidRPr="00CC690B">
        <w:rPr>
          <w:b/>
          <w:sz w:val="28"/>
          <w:szCs w:val="28"/>
        </w:rPr>
        <w:t>USP:</w:t>
      </w:r>
    </w:p>
    <w:p w:rsidR="004E6FD3" w:rsidRPr="005E04CA" w:rsidRDefault="004E6FD3" w:rsidP="004E6FD3">
      <w:pPr>
        <w:pStyle w:val="ListParagraph"/>
        <w:numPr>
          <w:ilvl w:val="0"/>
          <w:numId w:val="3"/>
        </w:numPr>
        <w:rPr>
          <w:sz w:val="24"/>
          <w:szCs w:val="24"/>
        </w:rPr>
      </w:pPr>
      <w:r w:rsidRPr="005E04CA">
        <w:rPr>
          <w:sz w:val="24"/>
          <w:szCs w:val="24"/>
        </w:rPr>
        <w:t xml:space="preserve">We are the only platform for buyers and sellers for </w:t>
      </w:r>
      <w:r w:rsidR="00544B0F">
        <w:rPr>
          <w:sz w:val="24"/>
          <w:szCs w:val="24"/>
        </w:rPr>
        <w:t>Non</w:t>
      </w:r>
      <w:r w:rsidRPr="005E04CA">
        <w:rPr>
          <w:sz w:val="24"/>
          <w:szCs w:val="24"/>
        </w:rPr>
        <w:t>-IPO shares transactions.</w:t>
      </w:r>
    </w:p>
    <w:p w:rsidR="004E6FD3" w:rsidRPr="005E04CA" w:rsidRDefault="004E6FD3" w:rsidP="004E6FD3">
      <w:pPr>
        <w:pStyle w:val="ListParagraph"/>
        <w:numPr>
          <w:ilvl w:val="0"/>
          <w:numId w:val="3"/>
        </w:numPr>
        <w:rPr>
          <w:sz w:val="24"/>
          <w:szCs w:val="24"/>
        </w:rPr>
      </w:pPr>
      <w:r w:rsidRPr="005E04CA">
        <w:rPr>
          <w:sz w:val="24"/>
          <w:szCs w:val="24"/>
        </w:rPr>
        <w:t>We have no plan to make it real time platform like stock exchanges.</w:t>
      </w:r>
    </w:p>
    <w:p w:rsidR="004E6FD3" w:rsidRPr="005E04CA" w:rsidRDefault="004E6FD3" w:rsidP="004E6FD3">
      <w:pPr>
        <w:pStyle w:val="ListParagraph"/>
        <w:numPr>
          <w:ilvl w:val="0"/>
          <w:numId w:val="3"/>
        </w:numPr>
        <w:rPr>
          <w:sz w:val="24"/>
          <w:szCs w:val="24"/>
        </w:rPr>
      </w:pPr>
      <w:r w:rsidRPr="005E04CA">
        <w:rPr>
          <w:sz w:val="24"/>
          <w:szCs w:val="24"/>
        </w:rPr>
        <w:t>There is no regulation preventing private closed investing in India so long as RoC norms are adhered to.</w:t>
      </w:r>
    </w:p>
    <w:p w:rsidR="004E6FD3" w:rsidRPr="005E04CA" w:rsidRDefault="004E6FD3" w:rsidP="004E6FD3">
      <w:pPr>
        <w:pStyle w:val="ListParagraph"/>
        <w:numPr>
          <w:ilvl w:val="0"/>
          <w:numId w:val="3"/>
        </w:numPr>
        <w:rPr>
          <w:sz w:val="24"/>
          <w:szCs w:val="24"/>
        </w:rPr>
      </w:pPr>
      <w:r w:rsidRPr="005E04CA">
        <w:rPr>
          <w:sz w:val="24"/>
          <w:szCs w:val="24"/>
        </w:rPr>
        <w:t xml:space="preserve">SharesVault platform </w:t>
      </w:r>
      <w:r w:rsidR="00277D7B">
        <w:rPr>
          <w:sz w:val="24"/>
          <w:szCs w:val="24"/>
        </w:rPr>
        <w:t>is aimed to be</w:t>
      </w:r>
      <w:r w:rsidRPr="005E04CA">
        <w:rPr>
          <w:sz w:val="24"/>
          <w:szCs w:val="24"/>
        </w:rPr>
        <w:t xml:space="preserve"> great tool and a starting point for lots of M&amp;A transactions across India</w:t>
      </w:r>
    </w:p>
    <w:p w:rsidR="004E6FD3" w:rsidRPr="005E04CA" w:rsidRDefault="004E6FD3" w:rsidP="004E6FD3">
      <w:pPr>
        <w:pStyle w:val="ListParagraph"/>
        <w:numPr>
          <w:ilvl w:val="0"/>
          <w:numId w:val="3"/>
        </w:numPr>
        <w:rPr>
          <w:sz w:val="24"/>
          <w:szCs w:val="24"/>
        </w:rPr>
      </w:pPr>
      <w:r w:rsidRPr="005E04CA">
        <w:rPr>
          <w:sz w:val="24"/>
          <w:szCs w:val="24"/>
        </w:rPr>
        <w:t xml:space="preserve">Investor’s Money Protection is primary concern. </w:t>
      </w:r>
      <w:r w:rsidR="00277D7B">
        <w:rPr>
          <w:sz w:val="24"/>
          <w:szCs w:val="24"/>
        </w:rPr>
        <w:t xml:space="preserve">First buyer has protection of principal </w:t>
      </w:r>
      <w:r w:rsidR="005D396E">
        <w:rPr>
          <w:sz w:val="24"/>
          <w:szCs w:val="24"/>
        </w:rPr>
        <w:t xml:space="preserve">amount </w:t>
      </w:r>
      <w:r w:rsidR="00277D7B">
        <w:rPr>
          <w:sz w:val="24"/>
          <w:szCs w:val="24"/>
        </w:rPr>
        <w:t>for 12 months</w:t>
      </w:r>
      <w:r w:rsidR="005D396E">
        <w:rPr>
          <w:sz w:val="24"/>
          <w:szCs w:val="24"/>
        </w:rPr>
        <w:t>. If first investors’ share is not traded means not purchased by any other investor till 12 months, company has to buy back investor’s shares at the same price investor has bought.</w:t>
      </w:r>
    </w:p>
    <w:p w:rsidR="004E6FD3" w:rsidRPr="005E04CA" w:rsidRDefault="004E6FD3" w:rsidP="004E6FD3">
      <w:pPr>
        <w:pStyle w:val="ListParagraph"/>
        <w:numPr>
          <w:ilvl w:val="0"/>
          <w:numId w:val="3"/>
        </w:numPr>
        <w:rPr>
          <w:sz w:val="24"/>
          <w:szCs w:val="24"/>
        </w:rPr>
      </w:pPr>
      <w:r w:rsidRPr="005E04CA">
        <w:rPr>
          <w:sz w:val="24"/>
          <w:szCs w:val="24"/>
        </w:rPr>
        <w:t xml:space="preserve"> We will license this product globally in developing and underdeveloped markets as a hosted solution</w:t>
      </w:r>
    </w:p>
    <w:p w:rsidR="004E6FD3" w:rsidRPr="005E04CA" w:rsidRDefault="004E6FD3" w:rsidP="004E6FD3">
      <w:pPr>
        <w:pStyle w:val="ListParagraph"/>
        <w:numPr>
          <w:ilvl w:val="0"/>
          <w:numId w:val="3"/>
        </w:numPr>
        <w:rPr>
          <w:sz w:val="24"/>
          <w:szCs w:val="24"/>
        </w:rPr>
      </w:pPr>
      <w:r w:rsidRPr="005E04CA">
        <w:rPr>
          <w:sz w:val="24"/>
          <w:szCs w:val="24"/>
        </w:rPr>
        <w:t xml:space="preserve">Awareness in market due to SEBI’s </w:t>
      </w:r>
      <w:r w:rsidR="00277D7B">
        <w:rPr>
          <w:sz w:val="24"/>
          <w:szCs w:val="24"/>
        </w:rPr>
        <w:t>launch</w:t>
      </w:r>
      <w:r w:rsidRPr="005E04CA">
        <w:rPr>
          <w:sz w:val="24"/>
          <w:szCs w:val="24"/>
        </w:rPr>
        <w:t xml:space="preserve"> of SME Exchange. This means SharesVault will have a faster </w:t>
      </w:r>
      <w:r w:rsidR="005A0AD7">
        <w:rPr>
          <w:sz w:val="24"/>
          <w:szCs w:val="24"/>
        </w:rPr>
        <w:t xml:space="preserve">and wider </w:t>
      </w:r>
      <w:r w:rsidRPr="005E04CA">
        <w:rPr>
          <w:sz w:val="24"/>
          <w:szCs w:val="24"/>
        </w:rPr>
        <w:t>acceptance</w:t>
      </w:r>
    </w:p>
    <w:p w:rsidR="004E6FD3" w:rsidRPr="005E04CA" w:rsidRDefault="004E6FD3" w:rsidP="004E6FD3">
      <w:pPr>
        <w:pStyle w:val="ListParagraph"/>
        <w:numPr>
          <w:ilvl w:val="0"/>
          <w:numId w:val="3"/>
        </w:numPr>
        <w:rPr>
          <w:sz w:val="24"/>
          <w:szCs w:val="24"/>
        </w:rPr>
      </w:pPr>
      <w:r w:rsidRPr="005E04CA">
        <w:rPr>
          <w:sz w:val="24"/>
          <w:szCs w:val="24"/>
        </w:rPr>
        <w:t>Name itself is catchy – “SharesVault”</w:t>
      </w:r>
    </w:p>
    <w:p w:rsidR="004E6FD3" w:rsidRDefault="004E6FD3" w:rsidP="006320E1">
      <w:pPr>
        <w:rPr>
          <w:b/>
          <w:sz w:val="28"/>
          <w:szCs w:val="28"/>
        </w:rPr>
      </w:pPr>
      <w:r>
        <w:rPr>
          <w:b/>
          <w:sz w:val="28"/>
          <w:szCs w:val="28"/>
        </w:rPr>
        <w:lastRenderedPageBreak/>
        <w:t>Contact Information:</w:t>
      </w:r>
    </w:p>
    <w:p w:rsidR="004E6FD3" w:rsidRPr="007739F5" w:rsidRDefault="004E6FD3" w:rsidP="004E6FD3">
      <w:pPr>
        <w:spacing w:after="60"/>
        <w:ind w:left="360"/>
        <w:rPr>
          <w:sz w:val="24"/>
          <w:szCs w:val="24"/>
          <w:lang w:val="en-US"/>
        </w:rPr>
      </w:pPr>
      <w:r w:rsidRPr="007739F5">
        <w:rPr>
          <w:b/>
          <w:sz w:val="24"/>
          <w:szCs w:val="24"/>
        </w:rPr>
        <w:t>Address:</w:t>
      </w:r>
      <w:r w:rsidRPr="007739F5">
        <w:rPr>
          <w:sz w:val="24"/>
          <w:szCs w:val="24"/>
        </w:rPr>
        <w:t xml:space="preserve"> </w:t>
      </w:r>
      <w:r w:rsidRPr="007739F5">
        <w:rPr>
          <w:sz w:val="24"/>
          <w:szCs w:val="24"/>
          <w:lang w:val="en-US"/>
        </w:rPr>
        <w:t xml:space="preserve">D-6, Navrang Super Market, </w:t>
      </w:r>
    </w:p>
    <w:p w:rsidR="004E6FD3" w:rsidRPr="007739F5" w:rsidRDefault="004E6FD3" w:rsidP="004E6FD3">
      <w:pPr>
        <w:spacing w:after="60"/>
        <w:ind w:left="1080"/>
        <w:rPr>
          <w:sz w:val="24"/>
          <w:szCs w:val="24"/>
          <w:lang w:val="en-US"/>
        </w:rPr>
      </w:pPr>
      <w:r w:rsidRPr="007739F5">
        <w:rPr>
          <w:sz w:val="24"/>
          <w:szCs w:val="24"/>
          <w:lang w:val="en-US"/>
        </w:rPr>
        <w:t xml:space="preserve">    Navrangpura Bus Stand, </w:t>
      </w:r>
    </w:p>
    <w:p w:rsidR="004E6FD3" w:rsidRPr="007739F5" w:rsidRDefault="004E6FD3" w:rsidP="004E6FD3">
      <w:pPr>
        <w:spacing w:after="60"/>
        <w:ind w:left="1080"/>
        <w:rPr>
          <w:sz w:val="24"/>
          <w:szCs w:val="24"/>
          <w:lang w:val="en-US"/>
        </w:rPr>
      </w:pPr>
      <w:r w:rsidRPr="007739F5">
        <w:rPr>
          <w:sz w:val="24"/>
          <w:szCs w:val="24"/>
          <w:lang w:val="en-US"/>
        </w:rPr>
        <w:t xml:space="preserve">    Navrangpura, </w:t>
      </w:r>
    </w:p>
    <w:p w:rsidR="004E6FD3" w:rsidRPr="007739F5" w:rsidRDefault="004E6FD3" w:rsidP="004E6FD3">
      <w:pPr>
        <w:spacing w:after="60"/>
        <w:ind w:left="1080"/>
        <w:rPr>
          <w:sz w:val="24"/>
          <w:szCs w:val="24"/>
          <w:lang w:val="en-US"/>
        </w:rPr>
      </w:pPr>
      <w:r w:rsidRPr="007739F5">
        <w:rPr>
          <w:sz w:val="24"/>
          <w:szCs w:val="24"/>
          <w:lang w:val="en-US"/>
        </w:rPr>
        <w:t xml:space="preserve">    Ahmedabad 380 009</w:t>
      </w:r>
    </w:p>
    <w:p w:rsidR="004E6FD3" w:rsidRPr="007739F5" w:rsidRDefault="004E6FD3" w:rsidP="004E6FD3">
      <w:pPr>
        <w:spacing w:after="60"/>
        <w:rPr>
          <w:b/>
          <w:sz w:val="24"/>
          <w:szCs w:val="24"/>
          <w:lang w:val="en-US"/>
        </w:rPr>
      </w:pPr>
      <w:r w:rsidRPr="007739F5">
        <w:rPr>
          <w:sz w:val="24"/>
          <w:szCs w:val="24"/>
          <w:lang w:val="en-US"/>
        </w:rPr>
        <w:t xml:space="preserve">       </w:t>
      </w:r>
      <w:r w:rsidRPr="007739F5">
        <w:rPr>
          <w:b/>
          <w:sz w:val="24"/>
          <w:szCs w:val="24"/>
          <w:lang w:val="en-US"/>
        </w:rPr>
        <w:t>Mobile:</w:t>
      </w:r>
      <w:r>
        <w:rPr>
          <w:b/>
          <w:sz w:val="24"/>
          <w:szCs w:val="24"/>
          <w:lang w:val="en-US"/>
        </w:rPr>
        <w:t xml:space="preserve">  </w:t>
      </w:r>
      <w:r w:rsidRPr="007739F5">
        <w:rPr>
          <w:b/>
          <w:sz w:val="24"/>
          <w:szCs w:val="24"/>
          <w:lang w:val="en-US"/>
        </w:rPr>
        <w:t xml:space="preserve"> </w:t>
      </w:r>
      <w:r w:rsidRPr="004E6FD3">
        <w:rPr>
          <w:sz w:val="24"/>
          <w:szCs w:val="24"/>
          <w:lang w:val="en-US"/>
        </w:rPr>
        <w:t xml:space="preserve">+91 </w:t>
      </w:r>
      <w:r w:rsidR="00BC25B6">
        <w:rPr>
          <w:sz w:val="24"/>
          <w:szCs w:val="24"/>
          <w:lang w:val="en-US"/>
        </w:rPr>
        <w:t>9898009324</w:t>
      </w:r>
    </w:p>
    <w:p w:rsidR="004E6FD3" w:rsidRPr="007739F5" w:rsidRDefault="004E6FD3" w:rsidP="004E6FD3">
      <w:pPr>
        <w:spacing w:after="60"/>
        <w:rPr>
          <w:sz w:val="24"/>
          <w:szCs w:val="24"/>
        </w:rPr>
      </w:pPr>
      <w:r w:rsidRPr="007739F5">
        <w:rPr>
          <w:b/>
          <w:sz w:val="24"/>
          <w:szCs w:val="24"/>
          <w:lang w:val="en-US"/>
        </w:rPr>
        <w:t xml:space="preserve">       Landline: </w:t>
      </w:r>
      <w:r w:rsidRPr="004E6FD3">
        <w:rPr>
          <w:sz w:val="24"/>
          <w:szCs w:val="24"/>
          <w:lang w:val="en-US"/>
        </w:rPr>
        <w:t>+91 079 40047054</w:t>
      </w:r>
    </w:p>
    <w:p w:rsidR="006D4EC1" w:rsidRDefault="004E6FD3" w:rsidP="004E6FD3">
      <w:r w:rsidRPr="007739F5">
        <w:rPr>
          <w:sz w:val="24"/>
          <w:szCs w:val="24"/>
        </w:rPr>
        <w:t xml:space="preserve">       </w:t>
      </w:r>
      <w:r w:rsidRPr="007739F5">
        <w:rPr>
          <w:b/>
          <w:sz w:val="24"/>
          <w:szCs w:val="24"/>
        </w:rPr>
        <w:t>E-mail:</w:t>
      </w:r>
      <w:r w:rsidRPr="007739F5">
        <w:rPr>
          <w:sz w:val="24"/>
          <w:szCs w:val="24"/>
        </w:rPr>
        <w:t xml:space="preserve"> </w:t>
      </w:r>
      <w:r>
        <w:rPr>
          <w:sz w:val="24"/>
          <w:szCs w:val="24"/>
        </w:rPr>
        <w:t xml:space="preserve">   </w:t>
      </w:r>
      <w:hyperlink r:id="rId7" w:history="1">
        <w:r w:rsidRPr="007739F5">
          <w:rPr>
            <w:rStyle w:val="Hyperlink"/>
            <w:sz w:val="24"/>
            <w:szCs w:val="24"/>
          </w:rPr>
          <w:t>info@sharesvault.com</w:t>
        </w:r>
      </w:hyperlink>
    </w:p>
    <w:p w:rsidR="004E6FD3" w:rsidRPr="007739F5" w:rsidRDefault="004E6FD3" w:rsidP="004E6FD3">
      <w:pPr>
        <w:rPr>
          <w:sz w:val="24"/>
          <w:szCs w:val="24"/>
        </w:rPr>
      </w:pPr>
      <w:r w:rsidRPr="007739F5">
        <w:rPr>
          <w:sz w:val="24"/>
          <w:szCs w:val="24"/>
        </w:rPr>
        <w:t xml:space="preserve">       </w:t>
      </w:r>
      <w:r w:rsidRPr="007739F5">
        <w:rPr>
          <w:b/>
          <w:sz w:val="24"/>
          <w:szCs w:val="24"/>
        </w:rPr>
        <w:t>Website:</w:t>
      </w:r>
      <w:r>
        <w:rPr>
          <w:sz w:val="24"/>
          <w:szCs w:val="24"/>
        </w:rPr>
        <w:t xml:space="preserve"> </w:t>
      </w:r>
      <w:hyperlink r:id="rId8" w:history="1">
        <w:r w:rsidRPr="007739F5">
          <w:rPr>
            <w:rStyle w:val="Hyperlink"/>
            <w:sz w:val="24"/>
            <w:szCs w:val="24"/>
          </w:rPr>
          <w:t>www.sharesvault.com</w:t>
        </w:r>
      </w:hyperlink>
    </w:p>
    <w:p w:rsidR="004E6FD3" w:rsidRPr="002366C0" w:rsidRDefault="004E6FD3" w:rsidP="004E6FD3">
      <w:pPr>
        <w:rPr>
          <w:sz w:val="24"/>
          <w:szCs w:val="24"/>
        </w:rPr>
      </w:pPr>
    </w:p>
    <w:p w:rsidR="00BC4D9C" w:rsidRDefault="00BC4D9C"/>
    <w:sectPr w:rsidR="00BC4D9C" w:rsidSect="001837A8">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E53D6A"/>
    <w:multiLevelType w:val="hybridMultilevel"/>
    <w:tmpl w:val="92F06628"/>
    <w:lvl w:ilvl="0" w:tplc="9620C1FC">
      <w:start w:val="1"/>
      <w:numFmt w:val="bullet"/>
      <w:lvlText w:val="•"/>
      <w:lvlJc w:val="left"/>
      <w:pPr>
        <w:tabs>
          <w:tab w:val="num" w:pos="429"/>
        </w:tabs>
        <w:ind w:left="429" w:hanging="360"/>
      </w:pPr>
      <w:rPr>
        <w:rFonts w:ascii="Times New Roman" w:hAnsi="Times New Roman" w:hint="default"/>
      </w:rPr>
    </w:lvl>
    <w:lvl w:ilvl="1" w:tplc="5C7C83E6" w:tentative="1">
      <w:start w:val="1"/>
      <w:numFmt w:val="bullet"/>
      <w:lvlText w:val="•"/>
      <w:lvlJc w:val="left"/>
      <w:pPr>
        <w:tabs>
          <w:tab w:val="num" w:pos="1440"/>
        </w:tabs>
        <w:ind w:left="1440" w:hanging="360"/>
      </w:pPr>
      <w:rPr>
        <w:rFonts w:ascii="Times New Roman" w:hAnsi="Times New Roman" w:hint="default"/>
      </w:rPr>
    </w:lvl>
    <w:lvl w:ilvl="2" w:tplc="B4FA4D00" w:tentative="1">
      <w:start w:val="1"/>
      <w:numFmt w:val="bullet"/>
      <w:lvlText w:val="•"/>
      <w:lvlJc w:val="left"/>
      <w:pPr>
        <w:tabs>
          <w:tab w:val="num" w:pos="2160"/>
        </w:tabs>
        <w:ind w:left="2160" w:hanging="360"/>
      </w:pPr>
      <w:rPr>
        <w:rFonts w:ascii="Times New Roman" w:hAnsi="Times New Roman" w:hint="default"/>
      </w:rPr>
    </w:lvl>
    <w:lvl w:ilvl="3" w:tplc="5F2CB12A" w:tentative="1">
      <w:start w:val="1"/>
      <w:numFmt w:val="bullet"/>
      <w:lvlText w:val="•"/>
      <w:lvlJc w:val="left"/>
      <w:pPr>
        <w:tabs>
          <w:tab w:val="num" w:pos="2880"/>
        </w:tabs>
        <w:ind w:left="2880" w:hanging="360"/>
      </w:pPr>
      <w:rPr>
        <w:rFonts w:ascii="Times New Roman" w:hAnsi="Times New Roman" w:hint="default"/>
      </w:rPr>
    </w:lvl>
    <w:lvl w:ilvl="4" w:tplc="26C24CF4" w:tentative="1">
      <w:start w:val="1"/>
      <w:numFmt w:val="bullet"/>
      <w:lvlText w:val="•"/>
      <w:lvlJc w:val="left"/>
      <w:pPr>
        <w:tabs>
          <w:tab w:val="num" w:pos="3600"/>
        </w:tabs>
        <w:ind w:left="3600" w:hanging="360"/>
      </w:pPr>
      <w:rPr>
        <w:rFonts w:ascii="Times New Roman" w:hAnsi="Times New Roman" w:hint="default"/>
      </w:rPr>
    </w:lvl>
    <w:lvl w:ilvl="5" w:tplc="C2D4F39C" w:tentative="1">
      <w:start w:val="1"/>
      <w:numFmt w:val="bullet"/>
      <w:lvlText w:val="•"/>
      <w:lvlJc w:val="left"/>
      <w:pPr>
        <w:tabs>
          <w:tab w:val="num" w:pos="4320"/>
        </w:tabs>
        <w:ind w:left="4320" w:hanging="360"/>
      </w:pPr>
      <w:rPr>
        <w:rFonts w:ascii="Times New Roman" w:hAnsi="Times New Roman" w:hint="default"/>
      </w:rPr>
    </w:lvl>
    <w:lvl w:ilvl="6" w:tplc="2A90197A" w:tentative="1">
      <w:start w:val="1"/>
      <w:numFmt w:val="bullet"/>
      <w:lvlText w:val="•"/>
      <w:lvlJc w:val="left"/>
      <w:pPr>
        <w:tabs>
          <w:tab w:val="num" w:pos="5040"/>
        </w:tabs>
        <w:ind w:left="5040" w:hanging="360"/>
      </w:pPr>
      <w:rPr>
        <w:rFonts w:ascii="Times New Roman" w:hAnsi="Times New Roman" w:hint="default"/>
      </w:rPr>
    </w:lvl>
    <w:lvl w:ilvl="7" w:tplc="BAA4C480" w:tentative="1">
      <w:start w:val="1"/>
      <w:numFmt w:val="bullet"/>
      <w:lvlText w:val="•"/>
      <w:lvlJc w:val="left"/>
      <w:pPr>
        <w:tabs>
          <w:tab w:val="num" w:pos="5760"/>
        </w:tabs>
        <w:ind w:left="5760" w:hanging="360"/>
      </w:pPr>
      <w:rPr>
        <w:rFonts w:ascii="Times New Roman" w:hAnsi="Times New Roman" w:hint="default"/>
      </w:rPr>
    </w:lvl>
    <w:lvl w:ilvl="8" w:tplc="DC5C6AD2" w:tentative="1">
      <w:start w:val="1"/>
      <w:numFmt w:val="bullet"/>
      <w:lvlText w:val="•"/>
      <w:lvlJc w:val="left"/>
      <w:pPr>
        <w:tabs>
          <w:tab w:val="num" w:pos="6480"/>
        </w:tabs>
        <w:ind w:left="6480" w:hanging="360"/>
      </w:pPr>
      <w:rPr>
        <w:rFonts w:ascii="Times New Roman" w:hAnsi="Times New Roman" w:hint="default"/>
      </w:rPr>
    </w:lvl>
  </w:abstractNum>
  <w:abstractNum w:abstractNumId="1">
    <w:nsid w:val="1D476B0B"/>
    <w:multiLevelType w:val="hybridMultilevel"/>
    <w:tmpl w:val="9D9861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45B91351"/>
    <w:multiLevelType w:val="hybridMultilevel"/>
    <w:tmpl w:val="9084A174"/>
    <w:lvl w:ilvl="0" w:tplc="7CC2B716">
      <w:start w:val="1"/>
      <w:numFmt w:val="bullet"/>
      <w:lvlText w:val="•"/>
      <w:lvlJc w:val="left"/>
      <w:pPr>
        <w:tabs>
          <w:tab w:val="num" w:pos="436"/>
        </w:tabs>
        <w:ind w:left="436" w:hanging="360"/>
      </w:pPr>
      <w:rPr>
        <w:rFonts w:ascii="Times New Roman" w:hAnsi="Times New Roman" w:hint="default"/>
      </w:rPr>
    </w:lvl>
    <w:lvl w:ilvl="1" w:tplc="769A5296" w:tentative="1">
      <w:start w:val="1"/>
      <w:numFmt w:val="bullet"/>
      <w:lvlText w:val="•"/>
      <w:lvlJc w:val="left"/>
      <w:pPr>
        <w:tabs>
          <w:tab w:val="num" w:pos="1440"/>
        </w:tabs>
        <w:ind w:left="1440" w:hanging="360"/>
      </w:pPr>
      <w:rPr>
        <w:rFonts w:ascii="Times New Roman" w:hAnsi="Times New Roman" w:hint="default"/>
      </w:rPr>
    </w:lvl>
    <w:lvl w:ilvl="2" w:tplc="AA980B28" w:tentative="1">
      <w:start w:val="1"/>
      <w:numFmt w:val="bullet"/>
      <w:lvlText w:val="•"/>
      <w:lvlJc w:val="left"/>
      <w:pPr>
        <w:tabs>
          <w:tab w:val="num" w:pos="2160"/>
        </w:tabs>
        <w:ind w:left="2160" w:hanging="360"/>
      </w:pPr>
      <w:rPr>
        <w:rFonts w:ascii="Times New Roman" w:hAnsi="Times New Roman" w:hint="default"/>
      </w:rPr>
    </w:lvl>
    <w:lvl w:ilvl="3" w:tplc="5B44AE2A" w:tentative="1">
      <w:start w:val="1"/>
      <w:numFmt w:val="bullet"/>
      <w:lvlText w:val="•"/>
      <w:lvlJc w:val="left"/>
      <w:pPr>
        <w:tabs>
          <w:tab w:val="num" w:pos="2880"/>
        </w:tabs>
        <w:ind w:left="2880" w:hanging="360"/>
      </w:pPr>
      <w:rPr>
        <w:rFonts w:ascii="Times New Roman" w:hAnsi="Times New Roman" w:hint="default"/>
      </w:rPr>
    </w:lvl>
    <w:lvl w:ilvl="4" w:tplc="16EEE8BC" w:tentative="1">
      <w:start w:val="1"/>
      <w:numFmt w:val="bullet"/>
      <w:lvlText w:val="•"/>
      <w:lvlJc w:val="left"/>
      <w:pPr>
        <w:tabs>
          <w:tab w:val="num" w:pos="3600"/>
        </w:tabs>
        <w:ind w:left="3600" w:hanging="360"/>
      </w:pPr>
      <w:rPr>
        <w:rFonts w:ascii="Times New Roman" w:hAnsi="Times New Roman" w:hint="default"/>
      </w:rPr>
    </w:lvl>
    <w:lvl w:ilvl="5" w:tplc="3CCA86AE" w:tentative="1">
      <w:start w:val="1"/>
      <w:numFmt w:val="bullet"/>
      <w:lvlText w:val="•"/>
      <w:lvlJc w:val="left"/>
      <w:pPr>
        <w:tabs>
          <w:tab w:val="num" w:pos="4320"/>
        </w:tabs>
        <w:ind w:left="4320" w:hanging="360"/>
      </w:pPr>
      <w:rPr>
        <w:rFonts w:ascii="Times New Roman" w:hAnsi="Times New Roman" w:hint="default"/>
      </w:rPr>
    </w:lvl>
    <w:lvl w:ilvl="6" w:tplc="39BEB416" w:tentative="1">
      <w:start w:val="1"/>
      <w:numFmt w:val="bullet"/>
      <w:lvlText w:val="•"/>
      <w:lvlJc w:val="left"/>
      <w:pPr>
        <w:tabs>
          <w:tab w:val="num" w:pos="5040"/>
        </w:tabs>
        <w:ind w:left="5040" w:hanging="360"/>
      </w:pPr>
      <w:rPr>
        <w:rFonts w:ascii="Times New Roman" w:hAnsi="Times New Roman" w:hint="default"/>
      </w:rPr>
    </w:lvl>
    <w:lvl w:ilvl="7" w:tplc="238894FC" w:tentative="1">
      <w:start w:val="1"/>
      <w:numFmt w:val="bullet"/>
      <w:lvlText w:val="•"/>
      <w:lvlJc w:val="left"/>
      <w:pPr>
        <w:tabs>
          <w:tab w:val="num" w:pos="5760"/>
        </w:tabs>
        <w:ind w:left="5760" w:hanging="360"/>
      </w:pPr>
      <w:rPr>
        <w:rFonts w:ascii="Times New Roman" w:hAnsi="Times New Roman" w:hint="default"/>
      </w:rPr>
    </w:lvl>
    <w:lvl w:ilvl="8" w:tplc="F17237F0" w:tentative="1">
      <w:start w:val="1"/>
      <w:numFmt w:val="bullet"/>
      <w:lvlText w:val="•"/>
      <w:lvlJc w:val="left"/>
      <w:pPr>
        <w:tabs>
          <w:tab w:val="num" w:pos="6480"/>
        </w:tabs>
        <w:ind w:left="6480" w:hanging="360"/>
      </w:pPr>
      <w:rPr>
        <w:rFonts w:ascii="Times New Roman" w:hAnsi="Times New Roman" w:hint="default"/>
      </w:rPr>
    </w:lvl>
  </w:abstractNum>
  <w:abstractNum w:abstractNumId="3">
    <w:nsid w:val="4F6E7BC8"/>
    <w:multiLevelType w:val="hybridMultilevel"/>
    <w:tmpl w:val="DD84B82C"/>
    <w:lvl w:ilvl="0" w:tplc="110697A0">
      <w:start w:val="1"/>
      <w:numFmt w:val="bullet"/>
      <w:lvlText w:val="•"/>
      <w:lvlJc w:val="left"/>
      <w:pPr>
        <w:tabs>
          <w:tab w:val="num" w:pos="421"/>
        </w:tabs>
        <w:ind w:left="421" w:hanging="360"/>
      </w:pPr>
      <w:rPr>
        <w:rFonts w:ascii="Times New Roman" w:hAnsi="Times New Roman" w:hint="default"/>
      </w:rPr>
    </w:lvl>
    <w:lvl w:ilvl="1" w:tplc="78AA6DD4" w:tentative="1">
      <w:start w:val="1"/>
      <w:numFmt w:val="bullet"/>
      <w:lvlText w:val="•"/>
      <w:lvlJc w:val="left"/>
      <w:pPr>
        <w:tabs>
          <w:tab w:val="num" w:pos="1440"/>
        </w:tabs>
        <w:ind w:left="1440" w:hanging="360"/>
      </w:pPr>
      <w:rPr>
        <w:rFonts w:ascii="Times New Roman" w:hAnsi="Times New Roman" w:hint="default"/>
      </w:rPr>
    </w:lvl>
    <w:lvl w:ilvl="2" w:tplc="CEE6E98C" w:tentative="1">
      <w:start w:val="1"/>
      <w:numFmt w:val="bullet"/>
      <w:lvlText w:val="•"/>
      <w:lvlJc w:val="left"/>
      <w:pPr>
        <w:tabs>
          <w:tab w:val="num" w:pos="2160"/>
        </w:tabs>
        <w:ind w:left="2160" w:hanging="360"/>
      </w:pPr>
      <w:rPr>
        <w:rFonts w:ascii="Times New Roman" w:hAnsi="Times New Roman" w:hint="default"/>
      </w:rPr>
    </w:lvl>
    <w:lvl w:ilvl="3" w:tplc="43D0F8C6" w:tentative="1">
      <w:start w:val="1"/>
      <w:numFmt w:val="bullet"/>
      <w:lvlText w:val="•"/>
      <w:lvlJc w:val="left"/>
      <w:pPr>
        <w:tabs>
          <w:tab w:val="num" w:pos="2880"/>
        </w:tabs>
        <w:ind w:left="2880" w:hanging="360"/>
      </w:pPr>
      <w:rPr>
        <w:rFonts w:ascii="Times New Roman" w:hAnsi="Times New Roman" w:hint="default"/>
      </w:rPr>
    </w:lvl>
    <w:lvl w:ilvl="4" w:tplc="56266136" w:tentative="1">
      <w:start w:val="1"/>
      <w:numFmt w:val="bullet"/>
      <w:lvlText w:val="•"/>
      <w:lvlJc w:val="left"/>
      <w:pPr>
        <w:tabs>
          <w:tab w:val="num" w:pos="3600"/>
        </w:tabs>
        <w:ind w:left="3600" w:hanging="360"/>
      </w:pPr>
      <w:rPr>
        <w:rFonts w:ascii="Times New Roman" w:hAnsi="Times New Roman" w:hint="default"/>
      </w:rPr>
    </w:lvl>
    <w:lvl w:ilvl="5" w:tplc="ACB2C3E0" w:tentative="1">
      <w:start w:val="1"/>
      <w:numFmt w:val="bullet"/>
      <w:lvlText w:val="•"/>
      <w:lvlJc w:val="left"/>
      <w:pPr>
        <w:tabs>
          <w:tab w:val="num" w:pos="4320"/>
        </w:tabs>
        <w:ind w:left="4320" w:hanging="360"/>
      </w:pPr>
      <w:rPr>
        <w:rFonts w:ascii="Times New Roman" w:hAnsi="Times New Roman" w:hint="default"/>
      </w:rPr>
    </w:lvl>
    <w:lvl w:ilvl="6" w:tplc="F39AE6B2" w:tentative="1">
      <w:start w:val="1"/>
      <w:numFmt w:val="bullet"/>
      <w:lvlText w:val="•"/>
      <w:lvlJc w:val="left"/>
      <w:pPr>
        <w:tabs>
          <w:tab w:val="num" w:pos="5040"/>
        </w:tabs>
        <w:ind w:left="5040" w:hanging="360"/>
      </w:pPr>
      <w:rPr>
        <w:rFonts w:ascii="Times New Roman" w:hAnsi="Times New Roman" w:hint="default"/>
      </w:rPr>
    </w:lvl>
    <w:lvl w:ilvl="7" w:tplc="C6624E7A" w:tentative="1">
      <w:start w:val="1"/>
      <w:numFmt w:val="bullet"/>
      <w:lvlText w:val="•"/>
      <w:lvlJc w:val="left"/>
      <w:pPr>
        <w:tabs>
          <w:tab w:val="num" w:pos="5760"/>
        </w:tabs>
        <w:ind w:left="5760" w:hanging="360"/>
      </w:pPr>
      <w:rPr>
        <w:rFonts w:ascii="Times New Roman" w:hAnsi="Times New Roman" w:hint="default"/>
      </w:rPr>
    </w:lvl>
    <w:lvl w:ilvl="8" w:tplc="2E12CB1C" w:tentative="1">
      <w:start w:val="1"/>
      <w:numFmt w:val="bullet"/>
      <w:lvlText w:val="•"/>
      <w:lvlJc w:val="left"/>
      <w:pPr>
        <w:tabs>
          <w:tab w:val="num" w:pos="6480"/>
        </w:tabs>
        <w:ind w:left="6480" w:hanging="360"/>
      </w:pPr>
      <w:rPr>
        <w:rFonts w:ascii="Times New Roman" w:hAnsi="Times New Roman" w:hint="default"/>
      </w:rPr>
    </w:lvl>
  </w:abstractNum>
  <w:abstractNum w:abstractNumId="4">
    <w:nsid w:val="570A5F5D"/>
    <w:multiLevelType w:val="hybridMultilevel"/>
    <w:tmpl w:val="804661EC"/>
    <w:lvl w:ilvl="0" w:tplc="40090003">
      <w:start w:val="1"/>
      <w:numFmt w:val="bullet"/>
      <w:lvlText w:val="o"/>
      <w:lvlJc w:val="left"/>
      <w:pPr>
        <w:ind w:left="1440" w:hanging="360"/>
      </w:pPr>
      <w:rPr>
        <w:rFonts w:ascii="Courier New" w:hAnsi="Courier New" w:cs="Courier New" w:hint="default"/>
        <w:sz w:val="24"/>
        <w:szCs w:val="24"/>
      </w:rPr>
    </w:lvl>
    <w:lvl w:ilvl="1" w:tplc="40090003">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
    <w:nsid w:val="786C2991"/>
    <w:multiLevelType w:val="hybridMultilevel"/>
    <w:tmpl w:val="6434996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7F2048F5"/>
    <w:multiLevelType w:val="hybridMultilevel"/>
    <w:tmpl w:val="C374DF36"/>
    <w:lvl w:ilvl="0" w:tplc="A13AD450">
      <w:start w:val="1"/>
      <w:numFmt w:val="bullet"/>
      <w:lvlText w:val=""/>
      <w:lvlJc w:val="left"/>
      <w:pPr>
        <w:ind w:left="720" w:hanging="360"/>
      </w:pPr>
      <w:rPr>
        <w:rFonts w:ascii="Symbol" w:hAnsi="Symbol" w:hint="default"/>
        <w:sz w:val="24"/>
        <w:szCs w:val="24"/>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6"/>
  </w:num>
  <w:num w:numId="4">
    <w:abstractNumId w:val="4"/>
  </w:num>
  <w:num w:numId="5">
    <w:abstractNumId w:val="2"/>
  </w:num>
  <w:num w:numId="6">
    <w:abstractNumId w:val="0"/>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4E6FD3"/>
    <w:rsid w:val="00003E0C"/>
    <w:rsid w:val="00014059"/>
    <w:rsid w:val="00052279"/>
    <w:rsid w:val="00053023"/>
    <w:rsid w:val="00077426"/>
    <w:rsid w:val="000838E0"/>
    <w:rsid w:val="000A299F"/>
    <w:rsid w:val="000E6436"/>
    <w:rsid w:val="000F5567"/>
    <w:rsid w:val="00112154"/>
    <w:rsid w:val="0013139E"/>
    <w:rsid w:val="00131445"/>
    <w:rsid w:val="001753F6"/>
    <w:rsid w:val="00176677"/>
    <w:rsid w:val="00182630"/>
    <w:rsid w:val="0018466E"/>
    <w:rsid w:val="0019342C"/>
    <w:rsid w:val="001B2F5F"/>
    <w:rsid w:val="001C176A"/>
    <w:rsid w:val="001C3479"/>
    <w:rsid w:val="001D2170"/>
    <w:rsid w:val="001D7D30"/>
    <w:rsid w:val="001E3C08"/>
    <w:rsid w:val="001F0B5F"/>
    <w:rsid w:val="0020390F"/>
    <w:rsid w:val="00222B61"/>
    <w:rsid w:val="0022361E"/>
    <w:rsid w:val="00272C6D"/>
    <w:rsid w:val="00277D7B"/>
    <w:rsid w:val="002853BE"/>
    <w:rsid w:val="002A5974"/>
    <w:rsid w:val="002C1F8C"/>
    <w:rsid w:val="002F39EB"/>
    <w:rsid w:val="00307FEA"/>
    <w:rsid w:val="00321315"/>
    <w:rsid w:val="003328E4"/>
    <w:rsid w:val="003475CE"/>
    <w:rsid w:val="00347EF4"/>
    <w:rsid w:val="00357C6B"/>
    <w:rsid w:val="00367DCB"/>
    <w:rsid w:val="00384421"/>
    <w:rsid w:val="003D5217"/>
    <w:rsid w:val="003E1D6F"/>
    <w:rsid w:val="003E4B9F"/>
    <w:rsid w:val="004560FC"/>
    <w:rsid w:val="004675A5"/>
    <w:rsid w:val="00486FFF"/>
    <w:rsid w:val="004918B8"/>
    <w:rsid w:val="004B2F47"/>
    <w:rsid w:val="004C297D"/>
    <w:rsid w:val="004D291D"/>
    <w:rsid w:val="004D6893"/>
    <w:rsid w:val="004E4E3C"/>
    <w:rsid w:val="004E68AA"/>
    <w:rsid w:val="004E6FD3"/>
    <w:rsid w:val="00511168"/>
    <w:rsid w:val="00513779"/>
    <w:rsid w:val="00542BE9"/>
    <w:rsid w:val="00544B0F"/>
    <w:rsid w:val="00546C40"/>
    <w:rsid w:val="005708C2"/>
    <w:rsid w:val="00592AA9"/>
    <w:rsid w:val="005A0AD7"/>
    <w:rsid w:val="005C2B21"/>
    <w:rsid w:val="005D396E"/>
    <w:rsid w:val="005F7CDC"/>
    <w:rsid w:val="00615F78"/>
    <w:rsid w:val="00621E98"/>
    <w:rsid w:val="006320E1"/>
    <w:rsid w:val="00636B11"/>
    <w:rsid w:val="0064670B"/>
    <w:rsid w:val="00663E54"/>
    <w:rsid w:val="006A38F4"/>
    <w:rsid w:val="006D4EC1"/>
    <w:rsid w:val="006F3F50"/>
    <w:rsid w:val="007174A3"/>
    <w:rsid w:val="00740DEF"/>
    <w:rsid w:val="00762EFE"/>
    <w:rsid w:val="00785315"/>
    <w:rsid w:val="007B6A85"/>
    <w:rsid w:val="00821EDA"/>
    <w:rsid w:val="00873C86"/>
    <w:rsid w:val="008A0EFF"/>
    <w:rsid w:val="008A2053"/>
    <w:rsid w:val="008D15B4"/>
    <w:rsid w:val="00911337"/>
    <w:rsid w:val="009327A6"/>
    <w:rsid w:val="009347AE"/>
    <w:rsid w:val="00935C42"/>
    <w:rsid w:val="00935FD1"/>
    <w:rsid w:val="009730F3"/>
    <w:rsid w:val="00973D7D"/>
    <w:rsid w:val="009F562C"/>
    <w:rsid w:val="00A41B78"/>
    <w:rsid w:val="00A46B4F"/>
    <w:rsid w:val="00A5748C"/>
    <w:rsid w:val="00AA63C0"/>
    <w:rsid w:val="00AB1A2C"/>
    <w:rsid w:val="00AE41A0"/>
    <w:rsid w:val="00AF11CB"/>
    <w:rsid w:val="00B01601"/>
    <w:rsid w:val="00B2202C"/>
    <w:rsid w:val="00B5382E"/>
    <w:rsid w:val="00B65BA6"/>
    <w:rsid w:val="00B67A0A"/>
    <w:rsid w:val="00BA29F4"/>
    <w:rsid w:val="00BA61B7"/>
    <w:rsid w:val="00BB0BE6"/>
    <w:rsid w:val="00BC25B6"/>
    <w:rsid w:val="00BC4D9C"/>
    <w:rsid w:val="00C13238"/>
    <w:rsid w:val="00C320DE"/>
    <w:rsid w:val="00C43720"/>
    <w:rsid w:val="00C60B61"/>
    <w:rsid w:val="00C6277D"/>
    <w:rsid w:val="00C63914"/>
    <w:rsid w:val="00C7663A"/>
    <w:rsid w:val="00C92886"/>
    <w:rsid w:val="00CA6E4D"/>
    <w:rsid w:val="00CA77F2"/>
    <w:rsid w:val="00CE0181"/>
    <w:rsid w:val="00D11ABF"/>
    <w:rsid w:val="00D16F7E"/>
    <w:rsid w:val="00D46120"/>
    <w:rsid w:val="00D61C49"/>
    <w:rsid w:val="00D92438"/>
    <w:rsid w:val="00D93BCD"/>
    <w:rsid w:val="00E1695F"/>
    <w:rsid w:val="00E44D22"/>
    <w:rsid w:val="00E64A6A"/>
    <w:rsid w:val="00E70CB2"/>
    <w:rsid w:val="00E95E12"/>
    <w:rsid w:val="00EC29BC"/>
    <w:rsid w:val="00F00808"/>
    <w:rsid w:val="00F324B0"/>
    <w:rsid w:val="00F642AC"/>
    <w:rsid w:val="00FD19F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6FD3"/>
    <w:rPr>
      <w:rFonts w:eastAsiaTheme="minorEastAsia"/>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6FD3"/>
    <w:pPr>
      <w:ind w:left="720"/>
      <w:contextualSpacing/>
    </w:pPr>
  </w:style>
  <w:style w:type="table" w:styleId="TableGrid">
    <w:name w:val="Table Grid"/>
    <w:basedOn w:val="TableNormal"/>
    <w:uiPriority w:val="59"/>
    <w:rsid w:val="004E6FD3"/>
    <w:pPr>
      <w:spacing w:after="0" w:line="240" w:lineRule="auto"/>
    </w:pPr>
    <w:rPr>
      <w:rFonts w:eastAsiaTheme="minorEastAsia"/>
      <w:lang w:eastAsia="en-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4E6FD3"/>
    <w:rPr>
      <w:color w:val="0000FF" w:themeColor="hyperlink"/>
      <w:u w:val="single"/>
    </w:rPr>
  </w:style>
  <w:style w:type="paragraph" w:styleId="BalloonText">
    <w:name w:val="Balloon Text"/>
    <w:basedOn w:val="Normal"/>
    <w:link w:val="BalloonTextChar"/>
    <w:uiPriority w:val="99"/>
    <w:semiHidden/>
    <w:unhideWhenUsed/>
    <w:rsid w:val="004E6F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6FD3"/>
    <w:rPr>
      <w:rFonts w:ascii="Tahoma" w:eastAsiaTheme="minorEastAsia" w:hAnsi="Tahoma" w:cs="Tahoma"/>
      <w:sz w:val="16"/>
      <w:szCs w:val="16"/>
      <w:lang w:eastAsia="en-I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haresvault.com" TargetMode="External"/><Relationship Id="rId3" Type="http://schemas.openxmlformats.org/officeDocument/2006/relationships/settings" Target="settings.xml"/><Relationship Id="rId7" Type="http://schemas.openxmlformats.org/officeDocument/2006/relationships/hyperlink" Target="mailto:info@sharesvault.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sharesvault.com"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262</TotalTime>
  <Pages>4</Pages>
  <Words>703</Words>
  <Characters>4013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Captain Jack</dc:creator>
  <cp:lastModifiedBy>Captain Jack</cp:lastModifiedBy>
  <cp:revision>43</cp:revision>
  <dcterms:created xsi:type="dcterms:W3CDTF">2012-03-22T17:01:00Z</dcterms:created>
  <dcterms:modified xsi:type="dcterms:W3CDTF">2012-07-10T10:42:00Z</dcterms:modified>
</cp:coreProperties>
</file>